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eastAsia="宋体" w:cs="宋体"/>
          <w:b/>
          <w:bCs/>
          <w:sz w:val="36"/>
          <w:szCs w:val="36"/>
        </w:rPr>
      </w:pPr>
      <w:bookmarkStart w:id="0" w:name="_Toc258934915"/>
      <w:r>
        <w:rPr>
          <w:rFonts w:hint="eastAsia" w:ascii="宋体" w:hAnsi="宋体" w:eastAsia="宋体" w:cs="宋体"/>
          <w:b/>
          <w:bCs/>
          <w:kern w:val="0"/>
          <w:sz w:val="36"/>
          <w:szCs w:val="36"/>
        </w:rPr>
        <w:t>全物资全流程追溯系统项目需求参数</w:t>
      </w:r>
    </w:p>
    <w:p>
      <w:pPr>
        <w:pStyle w:val="57"/>
        <w:numPr>
          <w:ilvl w:val="0"/>
          <w:numId w:val="0"/>
        </w:numPr>
        <w:ind w:leftChars="0"/>
        <w:rPr>
          <w:rFonts w:ascii="宋体" w:hAnsi="宋体" w:eastAsia="宋体" w:cs="宋体"/>
          <w:b/>
          <w:bCs/>
          <w:sz w:val="28"/>
          <w:szCs w:val="24"/>
        </w:rPr>
      </w:pPr>
      <w:r>
        <w:rPr>
          <w:rFonts w:hint="eastAsia" w:ascii="宋体" w:hAnsi="宋体" w:eastAsia="宋体" w:cs="宋体"/>
          <w:b/>
          <w:bCs/>
          <w:sz w:val="28"/>
          <w:szCs w:val="24"/>
        </w:rPr>
        <w:t>总要求</w:t>
      </w:r>
    </w:p>
    <w:p>
      <w:pPr>
        <w:pStyle w:val="57"/>
        <w:numPr>
          <w:ilvl w:val="0"/>
          <w:numId w:val="4"/>
        </w:numPr>
        <w:tabs>
          <w:tab w:val="left" w:pos="720"/>
        </w:tabs>
        <w:ind w:firstLineChars="0"/>
        <w:jc w:val="left"/>
        <w:rPr>
          <w:rFonts w:ascii="宋体" w:hAnsi="宋体" w:eastAsia="宋体"/>
          <w:color w:val="333333"/>
          <w:lang w:val="zh-CN"/>
        </w:rPr>
      </w:pPr>
      <w:bookmarkStart w:id="1" w:name="_Hlk106724350"/>
      <w:r>
        <w:rPr>
          <w:rFonts w:hint="eastAsia" w:ascii="宋体" w:hAnsi="宋体" w:eastAsia="宋体"/>
          <w:color w:val="000000" w:themeColor="text1"/>
          <w:lang w:val="zh-CN"/>
          <w14:textFill>
            <w14:solidFill>
              <w14:schemeClr w14:val="tx1"/>
            </w14:solidFill>
          </w14:textFill>
        </w:rPr>
        <w:t>全物资流程追溯系统</w:t>
      </w:r>
      <w:r>
        <w:rPr>
          <w:rFonts w:hint="eastAsia" w:ascii="宋体" w:hAnsi="宋体" w:eastAsia="宋体"/>
          <w:color w:val="333333"/>
          <w:lang w:val="zh-CN"/>
        </w:rPr>
        <w:t>应当覆盖医用耗材遴选、采购、验收、入库、储存、盘点、申领、出库、临床使用、重点监控、超常预警、点评等各环节，实现每一件医用耗材的全生命周期可溯源(《医疗机构医用耗材管理办法（试行）》)。</w:t>
      </w:r>
    </w:p>
    <w:p>
      <w:pPr>
        <w:pStyle w:val="57"/>
        <w:numPr>
          <w:ilvl w:val="0"/>
          <w:numId w:val="4"/>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一致性：所有数据必须实现同源保存，确保数据一致。</w:t>
      </w:r>
    </w:p>
    <w:p>
      <w:pPr>
        <w:pStyle w:val="57"/>
        <w:numPr>
          <w:ilvl w:val="0"/>
          <w:numId w:val="4"/>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系统操作一致性：与医院现有物资精细化管理系统统一。</w:t>
      </w:r>
    </w:p>
    <w:p>
      <w:pPr>
        <w:pStyle w:val="57"/>
        <w:numPr>
          <w:ilvl w:val="0"/>
          <w:numId w:val="4"/>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先进性：采用先进的主流开发平台，方便后续维护。</w:t>
      </w:r>
    </w:p>
    <w:p>
      <w:pPr>
        <w:pStyle w:val="57"/>
        <w:numPr>
          <w:ilvl w:val="0"/>
          <w:numId w:val="4"/>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安全性：有完善的数据安全和恢复机制，验收时需移交最新数据字典。</w:t>
      </w:r>
      <w:bookmarkEnd w:id="1"/>
    </w:p>
    <w:p>
      <w:pPr>
        <w:pStyle w:val="57"/>
        <w:numPr>
          <w:ilvl w:val="0"/>
          <w:numId w:val="5"/>
        </w:numPr>
        <w:ind w:left="0" w:firstLine="0" w:firstLineChars="0"/>
        <w:rPr>
          <w:rFonts w:ascii="宋体" w:hAnsi="宋体" w:eastAsia="宋体"/>
          <w:b/>
          <w:bCs/>
          <w:sz w:val="28"/>
          <w:szCs w:val="24"/>
        </w:rPr>
      </w:pPr>
      <w:r>
        <w:rPr>
          <w:rFonts w:hint="eastAsia" w:ascii="宋体" w:hAnsi="宋体" w:eastAsia="宋体"/>
          <w:b/>
          <w:bCs/>
          <w:sz w:val="28"/>
          <w:szCs w:val="24"/>
        </w:rPr>
        <w:t>临床科室管理</w:t>
      </w:r>
    </w:p>
    <w:p>
      <w:pPr>
        <w:pStyle w:val="57"/>
        <w:numPr>
          <w:ilvl w:val="0"/>
          <w:numId w:val="6"/>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以服务临床为出发点，通过请购一体化、基于消耗自动补货、科室订单状态追踪、周期性配送等创新手段，简化临床工作量，提升临床满意度。</w:t>
      </w:r>
    </w:p>
    <w:p>
      <w:pPr>
        <w:pStyle w:val="57"/>
        <w:numPr>
          <w:ilvl w:val="0"/>
          <w:numId w:val="6"/>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建立高值耗材内控管理体系，临床需求、使用和采购分离，实现从备货需求、预验收、病人使用、收费、入出库、付款结算等各环节的可视化管理，手术消耗和病人收费一体化。</w:t>
      </w:r>
    </w:p>
    <w:p>
      <w:pPr>
        <w:pStyle w:val="57"/>
        <w:numPr>
          <w:ilvl w:val="0"/>
          <w:numId w:val="6"/>
        </w:numPr>
        <w:tabs>
          <w:tab w:val="left" w:pos="720"/>
        </w:tabs>
        <w:ind w:firstLineChars="0"/>
        <w:jc w:val="left"/>
        <w:rPr>
          <w:rFonts w:ascii="宋体" w:hAnsi="宋体" w:eastAsia="宋体"/>
          <w:color w:val="333333"/>
        </w:rPr>
      </w:pPr>
      <w:r>
        <w:rPr>
          <w:rFonts w:ascii="宋体" w:hAnsi="宋体" w:eastAsia="宋体"/>
          <w:color w:val="333333"/>
        </w:rPr>
        <w:t>针对不同科室特点设计耗材消耗点，构建覆盖科室的二级库房管理体系。</w:t>
      </w:r>
    </w:p>
    <w:p>
      <w:pPr>
        <w:pStyle w:val="57"/>
        <w:numPr>
          <w:ilvl w:val="0"/>
          <w:numId w:val="6"/>
        </w:numPr>
        <w:tabs>
          <w:tab w:val="left" w:pos="720"/>
        </w:tabs>
        <w:ind w:firstLineChars="0"/>
        <w:jc w:val="left"/>
        <w:rPr>
          <w:rFonts w:ascii="宋体" w:hAnsi="宋体" w:eastAsia="宋体"/>
          <w:color w:val="333333"/>
        </w:rPr>
      </w:pPr>
      <w:r>
        <w:rPr>
          <w:rFonts w:ascii="宋体" w:hAnsi="宋体" w:eastAsia="宋体"/>
          <w:color w:val="333333"/>
        </w:rPr>
        <w:t>“基于收费实时扣库”等多种方式实现普通耗材使用与HIS收费的联动,解决低值耗材存在的丢失、漏费、错费及溢库控制问题。</w:t>
      </w:r>
    </w:p>
    <w:p>
      <w:pPr>
        <w:pStyle w:val="57"/>
        <w:numPr>
          <w:ilvl w:val="0"/>
          <w:numId w:val="6"/>
        </w:numPr>
        <w:tabs>
          <w:tab w:val="left" w:pos="720"/>
        </w:tabs>
        <w:ind w:firstLineChars="0"/>
        <w:jc w:val="left"/>
        <w:rPr>
          <w:rFonts w:ascii="宋体" w:hAnsi="宋体" w:eastAsia="宋体"/>
          <w:szCs w:val="24"/>
          <w:lang w:val="zh-CN"/>
        </w:rPr>
      </w:pPr>
      <w:r>
        <w:rPr>
          <w:rFonts w:hint="eastAsia" w:ascii="宋体" w:hAnsi="宋体" w:eastAsia="宋体"/>
          <w:szCs w:val="24"/>
        </w:rPr>
        <w:t>★电子签收：实现科室负责人远程把科室秘钥授权给科室某位在岗任何人员权限，使用手机端进行签收，科室负责人收到签收信息包括产品名、产品规格、签收数量及签收人员等信息，可追溯责任人及产品相关信息，科室秘钥有科室负责人可以进行设置和更改。</w:t>
      </w:r>
    </w:p>
    <w:p>
      <w:pPr>
        <w:rPr>
          <w:rFonts w:ascii="宋体" w:hAnsi="宋体" w:eastAsia="宋体"/>
          <w:b/>
          <w:bCs/>
          <w:sz w:val="28"/>
          <w:szCs w:val="24"/>
        </w:rPr>
      </w:pPr>
      <w:r>
        <w:rPr>
          <w:rFonts w:hint="eastAsia" w:ascii="宋体" w:hAnsi="宋体" w:eastAsia="宋体"/>
          <w:b/>
          <w:bCs/>
          <w:sz w:val="28"/>
          <w:szCs w:val="24"/>
        </w:rPr>
        <w:t>三、库房管理</w:t>
      </w:r>
    </w:p>
    <w:p>
      <w:pPr>
        <w:pStyle w:val="57"/>
        <w:numPr>
          <w:ilvl w:val="1"/>
          <w:numId w:val="5"/>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一级库条码或二维码管理，一级库、二级库实现效期、库存报警功能，有完善数据查询、统计功能。</w:t>
      </w:r>
    </w:p>
    <w:p>
      <w:pPr>
        <w:pStyle w:val="57"/>
        <w:numPr>
          <w:ilvl w:val="1"/>
          <w:numId w:val="5"/>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实现网络在线计划、请领、申购、配送等系统功能。</w:t>
      </w:r>
    </w:p>
    <w:p>
      <w:pPr>
        <w:pStyle w:val="57"/>
        <w:numPr>
          <w:ilvl w:val="1"/>
          <w:numId w:val="5"/>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二级库使用出库提供条码或手工两种方式，有电子台账，能统计每个产品使用量，能对请领数量和使用量进行核对。</w:t>
      </w:r>
    </w:p>
    <w:p>
      <w:pPr>
        <w:pStyle w:val="57"/>
        <w:numPr>
          <w:ilvl w:val="1"/>
          <w:numId w:val="5"/>
        </w:numPr>
        <w:tabs>
          <w:tab w:val="left" w:pos="720"/>
        </w:tabs>
        <w:ind w:firstLineChars="0"/>
        <w:jc w:val="left"/>
        <w:rPr>
          <w:rFonts w:ascii="宋体" w:hAnsi="宋体" w:eastAsia="宋体"/>
          <w:sz w:val="22"/>
          <w:szCs w:val="21"/>
          <w:lang w:val="zh-CN"/>
        </w:rPr>
      </w:pPr>
      <w:r>
        <w:rPr>
          <w:rFonts w:hint="eastAsia" w:ascii="宋体" w:hAnsi="宋体" w:eastAsia="宋体"/>
        </w:rPr>
        <w:t>★库房监管管理：库房监管实时动态管理功能，包含库房一个界面监管平台，包括到货及未到货监管、入库监管、出库监管、配送监管、物品即将过期提醒监管、实时库存监管的信息，避免过期风险和浪费。</w:t>
      </w:r>
    </w:p>
    <w:p>
      <w:pPr>
        <w:rPr>
          <w:rFonts w:ascii="宋体" w:hAnsi="宋体" w:eastAsia="宋体"/>
          <w:b/>
          <w:bCs/>
          <w:sz w:val="28"/>
          <w:szCs w:val="28"/>
          <w:lang w:val="zh-CN"/>
        </w:rPr>
      </w:pPr>
      <w:r>
        <w:rPr>
          <w:rFonts w:hint="eastAsia" w:ascii="宋体" w:hAnsi="宋体" w:eastAsia="宋体"/>
          <w:b/>
          <w:bCs/>
          <w:sz w:val="28"/>
          <w:szCs w:val="28"/>
          <w:lang w:val="zh-CN"/>
        </w:rPr>
        <w:t>四、高值耗材管理</w:t>
      </w:r>
    </w:p>
    <w:p>
      <w:pPr>
        <w:pStyle w:val="57"/>
        <w:numPr>
          <w:ilvl w:val="0"/>
          <w:numId w:val="7"/>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基于条码、二维码、射频技术实现植入、介入材料的全过程的追溯管理。</w:t>
      </w:r>
    </w:p>
    <w:p>
      <w:pPr>
        <w:pStyle w:val="57"/>
        <w:numPr>
          <w:ilvl w:val="0"/>
          <w:numId w:val="7"/>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根据使用情况自动生成收费记录和材料出库记录，实现病人使用登记、二级库房消耗出库、收费记账的同步，减少手工管理漏洞。</w:t>
      </w:r>
    </w:p>
    <w:p>
      <w:pPr>
        <w:pStyle w:val="57"/>
        <w:numPr>
          <w:ilvl w:val="0"/>
          <w:numId w:val="7"/>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联动电子病历系统，对高值耗材进行病历追溯。</w:t>
      </w:r>
    </w:p>
    <w:p>
      <w:pPr>
        <w:pStyle w:val="57"/>
        <w:numPr>
          <w:ilvl w:val="0"/>
          <w:numId w:val="7"/>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支持库存、备货、急诊使用的高值耗材的全程事前管理模式。要求提供急诊手术备包功能，供应商事前在医院提供急诊备包，事前验收，确保材料事前验收后使用。</w:t>
      </w:r>
    </w:p>
    <w:p>
      <w:pPr>
        <w:pStyle w:val="57"/>
        <w:numPr>
          <w:ilvl w:val="0"/>
          <w:numId w:val="7"/>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支持各类产品原厂条码和系统生成的二维码识别，也可以根据医院材料管理规范编码体系在耗材入库时生成条码或二维码标签，并在使用时通过条码直接定位耗材详细信息。</w:t>
      </w:r>
    </w:p>
    <w:p>
      <w:pPr>
        <w:pStyle w:val="57"/>
        <w:numPr>
          <w:ilvl w:val="0"/>
          <w:numId w:val="7"/>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材料使用审核与结算：将收费完成后的材料使用信息传送到中心库房，采购人员核对系统产生的病人使用信息和收费记录，与手术医生、巡回护士签字的纸质使用登记单，确认无误后通知供应商开具发票并完成入出库处理。</w:t>
      </w:r>
    </w:p>
    <w:p>
      <w:pPr>
        <w:pStyle w:val="57"/>
        <w:numPr>
          <w:ilvl w:val="0"/>
          <w:numId w:val="7"/>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实现植入耗材全程追溯厂家和病信息，也能实现病例号码全程追溯材料的相关信息；可对全过程进行一对一的质量管理和质量跟踪，降低材料使用过程中的医疗安全风险。</w:t>
      </w:r>
    </w:p>
    <w:p>
      <w:pPr>
        <w:rPr>
          <w:rFonts w:ascii="宋体" w:hAnsi="宋体" w:eastAsia="宋体"/>
          <w:b/>
          <w:bCs/>
          <w:sz w:val="28"/>
          <w:szCs w:val="24"/>
        </w:rPr>
      </w:pPr>
      <w:r>
        <w:rPr>
          <w:rFonts w:hint="eastAsia" w:ascii="宋体" w:hAnsi="宋体" w:eastAsia="宋体"/>
          <w:b/>
          <w:bCs/>
          <w:sz w:val="28"/>
          <w:szCs w:val="24"/>
        </w:rPr>
        <w:t>五、采购管理</w:t>
      </w:r>
    </w:p>
    <w:p>
      <w:pPr>
        <w:pStyle w:val="57"/>
        <w:widowControl/>
        <w:numPr>
          <w:ilvl w:val="1"/>
          <w:numId w:val="8"/>
        </w:numPr>
        <w:tabs>
          <w:tab w:val="left" w:pos="720"/>
        </w:tabs>
        <w:spacing w:line="240" w:lineRule="auto"/>
        <w:ind w:firstLineChars="0"/>
        <w:jc w:val="left"/>
        <w:rPr>
          <w:rFonts w:ascii="宋体" w:hAnsi="宋体" w:eastAsia="宋体" w:cs="Times New Roman"/>
          <w:color w:val="333333"/>
          <w:szCs w:val="20"/>
          <w:lang w:val="zh-CN"/>
        </w:rPr>
      </w:pPr>
      <w:r>
        <w:rPr>
          <w:rFonts w:hint="eastAsia" w:ascii="宋体" w:hAnsi="宋体" w:eastAsia="宋体" w:cs="Times New Roman"/>
          <w:color w:val="333333"/>
          <w:szCs w:val="20"/>
          <w:lang w:val="zh-CN"/>
        </w:rPr>
        <w:t>实行医用耗材采购的全过程数字化管理，实现从提交科室需求、生成采购计划、下达采购订单、采购订单确认到采购入库完成流程管理，满足采购人员日常工作需要，并通过条码、二维码、短信平台等应用降低采购人员的工作量。</w:t>
      </w:r>
    </w:p>
    <w:p>
      <w:pPr>
        <w:pStyle w:val="57"/>
        <w:widowControl/>
        <w:numPr>
          <w:ilvl w:val="1"/>
          <w:numId w:val="8"/>
        </w:numPr>
        <w:tabs>
          <w:tab w:val="left" w:pos="720"/>
        </w:tabs>
        <w:spacing w:line="240" w:lineRule="auto"/>
        <w:ind w:firstLineChars="0"/>
        <w:jc w:val="left"/>
        <w:rPr>
          <w:rFonts w:ascii="宋体" w:hAnsi="宋体" w:eastAsia="宋体" w:cs="Times New Roman"/>
          <w:color w:val="333333"/>
          <w:szCs w:val="20"/>
          <w:lang w:val="zh-CN"/>
        </w:rPr>
      </w:pPr>
      <w:r>
        <w:rPr>
          <w:rFonts w:ascii="宋体" w:hAnsi="宋体" w:eastAsia="宋体" w:cs="Segoe UI Symbol"/>
          <w:kern w:val="0"/>
          <w:szCs w:val="24"/>
        </w:rPr>
        <w:t>★</w:t>
      </w:r>
      <w:r>
        <w:rPr>
          <w:rFonts w:hint="eastAsia" w:ascii="宋体" w:hAnsi="宋体" w:eastAsia="宋体" w:cs="Times New Roman"/>
          <w:color w:val="333333"/>
          <w:szCs w:val="20"/>
          <w:lang w:val="zh-CN"/>
        </w:rPr>
        <w:t>证件电子化管理、实现产品注册证、营业执照、授权书全面信息化管理，实现批量审查、过期提醒、一键催补、新老证件交替等智能化证件管理。</w:t>
      </w:r>
    </w:p>
    <w:p>
      <w:pPr>
        <w:pStyle w:val="57"/>
        <w:widowControl/>
        <w:numPr>
          <w:ilvl w:val="1"/>
          <w:numId w:val="8"/>
        </w:numPr>
        <w:tabs>
          <w:tab w:val="left" w:pos="720"/>
        </w:tabs>
        <w:spacing w:line="240" w:lineRule="auto"/>
        <w:ind w:firstLineChars="0"/>
        <w:jc w:val="left"/>
        <w:rPr>
          <w:rFonts w:ascii="宋体" w:hAnsi="宋体" w:eastAsia="宋体" w:cs="Times New Roman"/>
          <w:color w:val="333333"/>
          <w:szCs w:val="20"/>
          <w:lang w:val="zh-CN"/>
        </w:rPr>
      </w:pPr>
      <w:r>
        <w:rPr>
          <w:rFonts w:ascii="宋体" w:hAnsi="宋体" w:eastAsia="宋体" w:cs="Segoe UI Symbol"/>
          <w:kern w:val="0"/>
          <w:szCs w:val="24"/>
        </w:rPr>
        <w:t>★</w:t>
      </w:r>
      <w:r>
        <w:rPr>
          <w:rFonts w:hint="eastAsia" w:ascii="宋体" w:hAnsi="宋体" w:eastAsia="宋体" w:cs="Times New Roman"/>
          <w:color w:val="333333"/>
          <w:szCs w:val="20"/>
          <w:lang w:val="zh-CN"/>
        </w:rPr>
        <w:t>供应商评价管理。根据供应商配送及时性、服务质量、不良事件等产生综合频分。</w:t>
      </w:r>
    </w:p>
    <w:p>
      <w:pPr>
        <w:pStyle w:val="57"/>
        <w:widowControl/>
        <w:numPr>
          <w:ilvl w:val="1"/>
          <w:numId w:val="8"/>
        </w:numPr>
        <w:tabs>
          <w:tab w:val="left" w:pos="720"/>
        </w:tabs>
        <w:spacing w:line="240" w:lineRule="auto"/>
        <w:ind w:firstLineChars="0"/>
        <w:jc w:val="left"/>
        <w:rPr>
          <w:rFonts w:ascii="宋体" w:hAnsi="宋体" w:eastAsia="宋体" w:cs="Times New Roman"/>
          <w:color w:val="333333"/>
          <w:szCs w:val="20"/>
          <w:lang w:val="zh-CN"/>
        </w:rPr>
      </w:pPr>
      <w:r>
        <w:rPr>
          <w:rFonts w:hint="eastAsia" w:ascii="宋体" w:hAnsi="宋体" w:eastAsia="宋体" w:cs="Times New Roman"/>
          <w:color w:val="333333"/>
          <w:szCs w:val="20"/>
          <w:lang w:val="zh-CN"/>
        </w:rPr>
        <w:t>与浙江省药械采购平台进行无缝对接。</w:t>
      </w:r>
    </w:p>
    <w:p>
      <w:pPr>
        <w:rPr>
          <w:rFonts w:ascii="宋体" w:hAnsi="宋体" w:eastAsia="宋体"/>
          <w:b/>
          <w:bCs/>
          <w:sz w:val="28"/>
          <w:szCs w:val="28"/>
        </w:rPr>
      </w:pPr>
      <w:r>
        <w:rPr>
          <w:rFonts w:hint="eastAsia" w:ascii="宋体" w:hAnsi="宋体" w:eastAsia="宋体"/>
          <w:b/>
          <w:bCs/>
          <w:sz w:val="28"/>
          <w:szCs w:val="28"/>
        </w:rPr>
        <w:t>六、合理使用监管</w:t>
      </w:r>
    </w:p>
    <w:p>
      <w:pPr>
        <w:pStyle w:val="57"/>
        <w:widowControl/>
        <w:numPr>
          <w:ilvl w:val="1"/>
          <w:numId w:val="9"/>
        </w:numPr>
        <w:tabs>
          <w:tab w:val="left" w:pos="720"/>
        </w:tabs>
        <w:spacing w:line="276" w:lineRule="auto"/>
        <w:ind w:firstLineChars="0"/>
        <w:jc w:val="left"/>
        <w:rPr>
          <w:rFonts w:ascii="宋体" w:hAnsi="宋体" w:eastAsia="宋体" w:cs="Times New Roman"/>
          <w:color w:val="333333"/>
          <w:szCs w:val="20"/>
          <w:lang w:val="zh-CN"/>
        </w:rPr>
      </w:pPr>
      <w:r>
        <w:rPr>
          <w:rFonts w:hint="eastAsia" w:ascii="宋体" w:hAnsi="宋体" w:eastAsia="宋体" w:cs="Times New Roman"/>
          <w:color w:val="333333"/>
          <w:szCs w:val="20"/>
          <w:lang w:val="zh-CN"/>
        </w:rPr>
        <w:t>能对重点品种实施采购量、使用量进行对比，对临床消耗量和金额品种进行排序，可实时监测某个科室、某一分类、某一品种使用情况。</w:t>
      </w:r>
    </w:p>
    <w:p>
      <w:pPr>
        <w:pStyle w:val="57"/>
        <w:widowControl/>
        <w:numPr>
          <w:ilvl w:val="1"/>
          <w:numId w:val="9"/>
        </w:numPr>
        <w:tabs>
          <w:tab w:val="left" w:pos="720"/>
        </w:tabs>
        <w:spacing w:line="276" w:lineRule="auto"/>
        <w:ind w:firstLineChars="0"/>
        <w:jc w:val="left"/>
        <w:rPr>
          <w:rFonts w:ascii="宋体" w:hAnsi="宋体" w:eastAsia="宋体" w:cs="Times New Roman"/>
          <w:color w:val="333333"/>
          <w:szCs w:val="20"/>
          <w:lang w:val="zh-CN"/>
        </w:rPr>
      </w:pPr>
      <w:r>
        <w:rPr>
          <w:rFonts w:hint="eastAsia" w:ascii="宋体" w:hAnsi="宋体" w:eastAsia="宋体" w:cs="Times New Roman"/>
          <w:color w:val="333333"/>
          <w:szCs w:val="20"/>
          <w:lang w:val="zh-CN"/>
        </w:rPr>
        <w:t>全院和各科室的材耗占比。</w:t>
      </w:r>
    </w:p>
    <w:p>
      <w:pPr>
        <w:pStyle w:val="57"/>
        <w:widowControl/>
        <w:numPr>
          <w:ilvl w:val="1"/>
          <w:numId w:val="9"/>
        </w:numPr>
        <w:tabs>
          <w:tab w:val="left" w:pos="720"/>
        </w:tabs>
        <w:spacing w:line="276" w:lineRule="auto"/>
        <w:ind w:firstLineChars="0"/>
        <w:jc w:val="left"/>
        <w:rPr>
          <w:rFonts w:ascii="宋体" w:hAnsi="宋体" w:eastAsia="宋体" w:cs="Times New Roman"/>
          <w:color w:val="333333"/>
          <w:szCs w:val="20"/>
          <w:lang w:val="zh-CN"/>
        </w:rPr>
      </w:pPr>
      <w:r>
        <w:rPr>
          <w:rFonts w:hint="eastAsia" w:ascii="宋体" w:hAnsi="宋体" w:eastAsia="宋体" w:cs="Times New Roman"/>
          <w:color w:val="333333"/>
          <w:szCs w:val="20"/>
          <w:lang w:val="zh-CN"/>
        </w:rPr>
        <w:t>实现针医用耗材具有敏感数据统计的要进行功能管理。</w:t>
      </w:r>
    </w:p>
    <w:p>
      <w:pPr>
        <w:rPr>
          <w:rFonts w:ascii="宋体" w:hAnsi="宋体" w:eastAsia="宋体"/>
          <w:b/>
          <w:bCs/>
          <w:sz w:val="28"/>
          <w:szCs w:val="24"/>
        </w:rPr>
      </w:pPr>
      <w:r>
        <w:rPr>
          <w:rFonts w:hint="eastAsia" w:ascii="宋体" w:hAnsi="宋体" w:eastAsia="宋体"/>
          <w:b/>
          <w:bCs/>
          <w:sz w:val="28"/>
          <w:szCs w:val="24"/>
        </w:rPr>
        <w:t>七、电子审批</w:t>
      </w:r>
    </w:p>
    <w:p>
      <w:pPr>
        <w:pStyle w:val="57"/>
        <w:numPr>
          <w:ilvl w:val="1"/>
          <w:numId w:val="10"/>
        </w:numPr>
        <w:tabs>
          <w:tab w:val="left" w:pos="720"/>
        </w:tabs>
        <w:ind w:firstLineChars="0"/>
        <w:jc w:val="left"/>
        <w:rPr>
          <w:rFonts w:ascii="宋体" w:hAnsi="宋体" w:eastAsia="宋体"/>
          <w:color w:val="333333"/>
        </w:rPr>
      </w:pPr>
      <w:r>
        <w:rPr>
          <w:rFonts w:hint="eastAsia" w:ascii="宋体" w:hAnsi="宋体" w:eastAsia="宋体"/>
          <w:color w:val="333333"/>
          <w:lang w:val="zh-CN"/>
        </w:rPr>
        <w:t>医用耗材引进、清退、临时采购、目录变更均能在手机端和</w:t>
      </w:r>
      <w:r>
        <w:rPr>
          <w:rFonts w:hint="eastAsia" w:ascii="宋体" w:hAnsi="宋体" w:eastAsia="宋体"/>
          <w:color w:val="333333"/>
        </w:rPr>
        <w:t>PC端实时进行审签，并具有打印和导出表单功能。</w:t>
      </w:r>
    </w:p>
    <w:p>
      <w:pPr>
        <w:pStyle w:val="57"/>
        <w:numPr>
          <w:ilvl w:val="1"/>
          <w:numId w:val="10"/>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实现可根据医院管理要求电子化审批流程设计（要有全部、任一的审批功能），以及针对全院的电子化审批表单进行全流程监管。</w:t>
      </w:r>
    </w:p>
    <w:p>
      <w:pPr>
        <w:rPr>
          <w:rFonts w:ascii="宋体" w:hAnsi="宋体" w:eastAsia="宋体"/>
          <w:b/>
          <w:bCs/>
          <w:sz w:val="28"/>
          <w:szCs w:val="28"/>
          <w:lang w:val="zh-CN"/>
        </w:rPr>
      </w:pPr>
      <w:r>
        <w:rPr>
          <w:rFonts w:hint="eastAsia" w:ascii="宋体" w:hAnsi="宋体" w:eastAsia="宋体"/>
          <w:b/>
          <w:bCs/>
          <w:sz w:val="28"/>
          <w:szCs w:val="28"/>
          <w:lang w:val="zh-CN"/>
        </w:rPr>
        <w:t>八、字典库管理</w:t>
      </w:r>
    </w:p>
    <w:p>
      <w:pPr>
        <w:pStyle w:val="57"/>
        <w:numPr>
          <w:ilvl w:val="1"/>
          <w:numId w:val="11"/>
        </w:numPr>
        <w:tabs>
          <w:tab w:val="left" w:pos="720"/>
        </w:tabs>
        <w:ind w:firstLineChars="0"/>
        <w:jc w:val="left"/>
        <w:rPr>
          <w:rFonts w:ascii="宋体" w:hAnsi="宋体" w:eastAsia="宋体"/>
          <w:color w:val="333333"/>
          <w:lang w:val="zh-CN"/>
        </w:rPr>
      </w:pPr>
      <w:r>
        <w:rPr>
          <w:rFonts w:hint="eastAsia" w:ascii="宋体" w:hAnsi="宋体" w:eastAsia="宋体"/>
          <w:color w:val="333333"/>
          <w:lang w:val="zh-CN"/>
        </w:rPr>
        <w:t>实现一物一码管理，信息至少包括医用耗材的级别、注册证号、类别（如可计价和不计价；自费、医保耗材、医疗耗材；高值、低值、试剂；集采品种、驻地采购、自行采购；重点监管品种；按国家代码自动分类）、收费编码、国家耗材代码等。</w:t>
      </w:r>
    </w:p>
    <w:p>
      <w:pPr>
        <w:pStyle w:val="57"/>
        <w:numPr>
          <w:ilvl w:val="1"/>
          <w:numId w:val="11"/>
        </w:numPr>
        <w:tabs>
          <w:tab w:val="left" w:pos="720"/>
        </w:tabs>
        <w:ind w:firstLineChars="0"/>
        <w:jc w:val="left"/>
        <w:rPr>
          <w:rFonts w:ascii="宋体" w:hAnsi="宋体" w:eastAsia="宋体"/>
          <w:color w:val="333333"/>
        </w:rPr>
      </w:pPr>
      <w:r>
        <w:rPr>
          <w:rFonts w:hint="eastAsia" w:ascii="宋体" w:hAnsi="宋体" w:eastAsia="宋体"/>
          <w:color w:val="333333"/>
          <w:lang w:val="zh-CN"/>
        </w:rPr>
        <w:t>可收费耗材与</w:t>
      </w:r>
      <w:r>
        <w:rPr>
          <w:rFonts w:hint="eastAsia" w:ascii="宋体" w:hAnsi="宋体" w:eastAsia="宋体"/>
          <w:color w:val="333333"/>
        </w:rPr>
        <w:t>HIS系统收费项目进行对照维护，包括：新增价表、更新单价、停用收费目录等。</w:t>
      </w:r>
    </w:p>
    <w:p>
      <w:pPr>
        <w:pStyle w:val="57"/>
        <w:numPr>
          <w:ilvl w:val="1"/>
          <w:numId w:val="11"/>
        </w:numPr>
        <w:tabs>
          <w:tab w:val="left" w:pos="720"/>
        </w:tabs>
        <w:ind w:firstLineChars="0"/>
        <w:jc w:val="left"/>
        <w:rPr>
          <w:rFonts w:ascii="宋体" w:hAnsi="宋体" w:eastAsia="宋体"/>
          <w:color w:val="333333"/>
        </w:rPr>
      </w:pPr>
      <w:r>
        <w:rPr>
          <w:rFonts w:hint="eastAsia" w:ascii="宋体" w:hAnsi="宋体" w:eastAsia="宋体"/>
          <w:color w:val="333333"/>
          <w:lang w:val="zh-CN"/>
        </w:rPr>
        <w:t>建立医院医保医用耗材代码库，该库能实现与院内物资字典关联，关联后能自动获取医保编码、一级分类（学科、品类）、二级分类（用途、品目）、三级分类（部位、功能、 品种）、医保通用名、耗材材质、规格（特征、参数）、耗材生产企业等。</w:t>
      </w:r>
    </w:p>
    <w:p>
      <w:pPr>
        <w:rPr>
          <w:rFonts w:ascii="宋体" w:hAnsi="宋体" w:eastAsia="宋体"/>
          <w:b/>
          <w:bCs/>
          <w:sz w:val="28"/>
          <w:szCs w:val="28"/>
          <w:lang w:val="zh-CN"/>
        </w:rPr>
      </w:pPr>
      <w:r>
        <w:rPr>
          <w:rFonts w:hint="eastAsia" w:ascii="宋体" w:hAnsi="宋体" w:eastAsia="宋体"/>
          <w:b/>
          <w:bCs/>
          <w:sz w:val="28"/>
          <w:szCs w:val="28"/>
          <w:lang w:val="zh-CN"/>
        </w:rPr>
        <w:t>九、数据分析模块</w:t>
      </w:r>
    </w:p>
    <w:p>
      <w:pPr>
        <w:pStyle w:val="57"/>
        <w:numPr>
          <w:ilvl w:val="1"/>
          <w:numId w:val="12"/>
        </w:numPr>
        <w:tabs>
          <w:tab w:val="left" w:pos="720"/>
        </w:tabs>
        <w:ind w:firstLineChars="0"/>
        <w:jc w:val="left"/>
        <w:rPr>
          <w:rFonts w:ascii="宋体" w:hAnsi="宋体" w:eastAsia="宋体"/>
          <w:lang w:val="zh-CN"/>
        </w:rPr>
      </w:pPr>
      <w:r>
        <w:rPr>
          <w:rFonts w:hint="eastAsia" w:ascii="宋体" w:hAnsi="宋体" w:eastAsia="宋体"/>
          <w:lang w:val="zh-CN"/>
        </w:rPr>
        <w:t>实现一块整体的业务分析，包括：采购、出库、使用登记、收入统计、入库【供应商】排名前10、入库【耗材】排名前10、出库【科室】排名前10、出库【耗材】排名前10、手术材料使用【医生】排名前10、手术材料使用【手术】排名前10、预算与采购数据对比分析。</w:t>
      </w:r>
    </w:p>
    <w:p>
      <w:pPr>
        <w:pStyle w:val="57"/>
        <w:numPr>
          <w:ilvl w:val="1"/>
          <w:numId w:val="12"/>
        </w:numPr>
        <w:tabs>
          <w:tab w:val="left" w:pos="720"/>
        </w:tabs>
        <w:ind w:firstLineChars="0"/>
        <w:jc w:val="left"/>
        <w:rPr>
          <w:rFonts w:ascii="宋体" w:hAnsi="宋体" w:eastAsia="宋体"/>
          <w:lang w:val="zh-CN"/>
        </w:rPr>
      </w:pPr>
      <w:r>
        <w:rPr>
          <w:rFonts w:ascii="宋体" w:hAnsi="宋体" w:eastAsia="宋体" w:cs="Segoe UI Symbol"/>
          <w:kern w:val="0"/>
          <w:szCs w:val="24"/>
        </w:rPr>
        <w:t>★</w:t>
      </w:r>
      <w:r>
        <w:rPr>
          <w:rFonts w:hint="eastAsia" w:ascii="宋体" w:hAnsi="宋体" w:eastAsia="宋体"/>
          <w:lang w:val="zh-CN"/>
        </w:rPr>
        <w:t>实现合同执行情况的数据分析，某年度合同的执行情况：合同号、合同名称、起始时间、失效时间、合同付款状态、合同金额、合同期内入库金额、已执行付款金额、已付款金额、供应商名称。</w:t>
      </w:r>
    </w:p>
    <w:p>
      <w:pPr>
        <w:pStyle w:val="57"/>
        <w:numPr>
          <w:ilvl w:val="1"/>
          <w:numId w:val="12"/>
        </w:numPr>
        <w:tabs>
          <w:tab w:val="left" w:pos="720"/>
        </w:tabs>
        <w:ind w:firstLineChars="0"/>
        <w:jc w:val="left"/>
        <w:rPr>
          <w:rFonts w:ascii="宋体" w:hAnsi="宋体" w:eastAsia="宋体"/>
          <w:lang w:val="zh-CN"/>
        </w:rPr>
      </w:pPr>
      <w:r>
        <w:rPr>
          <w:rFonts w:hint="eastAsia" w:ascii="宋体" w:hAnsi="宋体" w:eastAsia="宋体"/>
          <w:lang w:val="zh-CN"/>
        </w:rPr>
        <w:t>年度预算分析，某年度预算分析情况：预算年度、预算类型、预算项目名称、本期预算金额、上期预算金额、本期已执行金额。</w:t>
      </w:r>
    </w:p>
    <w:p>
      <w:pPr>
        <w:pStyle w:val="57"/>
        <w:numPr>
          <w:ilvl w:val="1"/>
          <w:numId w:val="12"/>
        </w:numPr>
        <w:tabs>
          <w:tab w:val="left" w:pos="720"/>
        </w:tabs>
        <w:ind w:firstLineChars="0"/>
        <w:jc w:val="left"/>
        <w:rPr>
          <w:rFonts w:ascii="宋体" w:hAnsi="宋体" w:eastAsia="宋体"/>
          <w:lang w:val="zh-CN"/>
        </w:rPr>
      </w:pPr>
      <w:r>
        <w:rPr>
          <w:rFonts w:ascii="宋体" w:hAnsi="宋体" w:eastAsia="宋体" w:cs="Segoe UI Symbol"/>
          <w:kern w:val="0"/>
          <w:szCs w:val="24"/>
        </w:rPr>
        <w:t>★</w:t>
      </w:r>
      <w:r>
        <w:rPr>
          <w:rFonts w:hint="eastAsia" w:ascii="宋体" w:hAnsi="宋体" w:eastAsia="宋体"/>
          <w:lang w:val="zh-CN"/>
        </w:rPr>
        <w:t>耗材用量分析，包括（采购、出库、使用、收入）：本期金额、上期金额、上期占比、同期金额、同期占比、本期收入金额、病人用量。</w:t>
      </w:r>
    </w:p>
    <w:p>
      <w:pPr>
        <w:pStyle w:val="57"/>
        <w:numPr>
          <w:ilvl w:val="1"/>
          <w:numId w:val="12"/>
        </w:numPr>
        <w:tabs>
          <w:tab w:val="left" w:pos="720"/>
        </w:tabs>
        <w:ind w:firstLineChars="0"/>
        <w:jc w:val="left"/>
        <w:rPr>
          <w:rFonts w:ascii="宋体" w:hAnsi="宋体" w:eastAsia="宋体"/>
          <w:lang w:val="zh-CN"/>
        </w:rPr>
      </w:pPr>
      <w:r>
        <w:rPr>
          <w:rFonts w:hint="eastAsia" w:ascii="宋体" w:hAnsi="宋体" w:eastAsia="宋体"/>
          <w:lang w:val="zh-CN"/>
        </w:rPr>
        <w:t>科室用量分析，包括：科室名称、本期出库金额、上期出库金额、上期出库占比、同期出库金额、同期出库占比、本期材料收入、上期材料收入、上期材料收入占比、同期材料收入、同期材料收入占比、本期总收入、上期总收入、上期总收入占比、同期总收入、同期总收入占比。</w:t>
      </w:r>
    </w:p>
    <w:p>
      <w:pPr>
        <w:pStyle w:val="57"/>
        <w:numPr>
          <w:ilvl w:val="1"/>
          <w:numId w:val="12"/>
        </w:numPr>
        <w:tabs>
          <w:tab w:val="left" w:pos="720"/>
        </w:tabs>
        <w:ind w:firstLineChars="0"/>
        <w:jc w:val="left"/>
        <w:rPr>
          <w:rFonts w:ascii="宋体" w:hAnsi="宋体" w:eastAsia="宋体"/>
          <w:lang w:val="zh-CN"/>
        </w:rPr>
      </w:pPr>
      <w:r>
        <w:rPr>
          <w:rFonts w:ascii="宋体" w:hAnsi="宋体" w:eastAsia="宋体" w:cs="Segoe UI Symbol"/>
          <w:kern w:val="0"/>
          <w:szCs w:val="24"/>
        </w:rPr>
        <w:t>★</w:t>
      </w:r>
      <w:r>
        <w:rPr>
          <w:rFonts w:hint="eastAsia" w:ascii="宋体" w:hAnsi="宋体" w:eastAsia="宋体"/>
          <w:lang w:val="zh-CN"/>
        </w:rPr>
        <w:t>重点耗材监管分析，包括：库房名称、物资名称、规格型号、结算类型、本期金额、上期金额、上期占比、同期金额、同期占比、本期收入金额、监管金额情况。</w:t>
      </w:r>
    </w:p>
    <w:p>
      <w:pPr>
        <w:pStyle w:val="57"/>
        <w:numPr>
          <w:ilvl w:val="1"/>
          <w:numId w:val="12"/>
        </w:numPr>
        <w:tabs>
          <w:tab w:val="left" w:pos="720"/>
        </w:tabs>
        <w:ind w:firstLineChars="0"/>
        <w:jc w:val="left"/>
        <w:rPr>
          <w:rFonts w:ascii="宋体" w:hAnsi="宋体" w:eastAsia="宋体"/>
          <w:lang w:val="zh-CN"/>
        </w:rPr>
      </w:pPr>
      <w:r>
        <w:rPr>
          <w:rFonts w:ascii="宋体" w:hAnsi="宋体" w:eastAsia="宋体" w:cs="Segoe UI Symbol"/>
          <w:kern w:val="0"/>
          <w:szCs w:val="24"/>
        </w:rPr>
        <w:t>★</w:t>
      </w:r>
      <w:r>
        <w:rPr>
          <w:rFonts w:hint="eastAsia" w:ascii="宋体" w:hAnsi="宋体" w:eastAsia="宋体"/>
          <w:lang w:val="zh-CN"/>
        </w:rPr>
        <w:t>医生用量分析，包括：医生名称、使用金额、病人数量、人均费用、病人来源。</w:t>
      </w:r>
    </w:p>
    <w:p>
      <w:pPr>
        <w:pStyle w:val="57"/>
        <w:numPr>
          <w:ilvl w:val="1"/>
          <w:numId w:val="12"/>
        </w:numPr>
        <w:tabs>
          <w:tab w:val="left" w:pos="720"/>
        </w:tabs>
        <w:ind w:firstLineChars="0"/>
        <w:jc w:val="left"/>
        <w:rPr>
          <w:rFonts w:ascii="宋体" w:hAnsi="宋体" w:eastAsia="宋体"/>
          <w:lang w:val="zh-CN"/>
        </w:rPr>
      </w:pPr>
      <w:r>
        <w:rPr>
          <w:rFonts w:ascii="宋体" w:hAnsi="宋体" w:eastAsia="宋体" w:cs="Segoe UI Symbol"/>
          <w:kern w:val="0"/>
          <w:szCs w:val="24"/>
        </w:rPr>
        <w:t>★</w:t>
      </w:r>
      <w:r>
        <w:rPr>
          <w:rFonts w:hint="eastAsia" w:ascii="宋体" w:hAnsi="宋体" w:eastAsia="宋体"/>
          <w:lang w:val="zh-CN"/>
        </w:rPr>
        <w:t>手术病种用量分析，包括：使用金额、病人数量、人均费用、病人来源</w:t>
      </w:r>
    </w:p>
    <w:p>
      <w:pPr>
        <w:pStyle w:val="57"/>
        <w:numPr>
          <w:ilvl w:val="1"/>
          <w:numId w:val="12"/>
        </w:numPr>
        <w:tabs>
          <w:tab w:val="left" w:pos="720"/>
        </w:tabs>
        <w:ind w:firstLineChars="0"/>
        <w:jc w:val="left"/>
        <w:rPr>
          <w:rFonts w:ascii="宋体" w:hAnsi="宋体" w:eastAsia="宋体"/>
        </w:rPr>
      </w:pPr>
      <w:r>
        <w:rPr>
          <w:rFonts w:ascii="宋体" w:hAnsi="宋体" w:eastAsia="宋体" w:cs="Segoe UI Symbol"/>
          <w:kern w:val="0"/>
          <w:szCs w:val="24"/>
        </w:rPr>
        <w:t>★</w:t>
      </w:r>
      <w:r>
        <w:rPr>
          <w:rFonts w:hint="eastAsia" w:ascii="宋体" w:hAnsi="宋体" w:eastAsia="宋体"/>
          <w:lang w:val="zh-CN"/>
        </w:rPr>
        <w:t>急诊验收分析，包括：病人ID、病人姓名、入院时间、入院诊断、主刀医生、手术名称、手术时间、验收人员、验收时间、供应商名称。</w:t>
      </w:r>
    </w:p>
    <w:p>
      <w:pPr>
        <w:rPr>
          <w:rFonts w:ascii="宋体" w:hAnsi="宋体" w:eastAsia="宋体"/>
          <w:b/>
          <w:bCs/>
          <w:sz w:val="28"/>
          <w:szCs w:val="28"/>
          <w:lang w:val="zh-CN"/>
        </w:rPr>
      </w:pPr>
      <w:r>
        <w:rPr>
          <w:rFonts w:hint="eastAsia" w:ascii="宋体" w:hAnsi="宋体" w:eastAsia="宋体"/>
          <w:b/>
          <w:bCs/>
          <w:sz w:val="28"/>
          <w:szCs w:val="28"/>
          <w:lang w:val="zh-CN"/>
        </w:rPr>
        <w:t>十、财务管理</w:t>
      </w:r>
    </w:p>
    <w:p>
      <w:pPr>
        <w:pStyle w:val="57"/>
        <w:numPr>
          <w:ilvl w:val="0"/>
          <w:numId w:val="13"/>
        </w:numPr>
        <w:tabs>
          <w:tab w:val="left" w:pos="720"/>
        </w:tabs>
        <w:ind w:firstLineChars="0"/>
        <w:jc w:val="left"/>
        <w:rPr>
          <w:rFonts w:ascii="宋体" w:hAnsi="宋体" w:eastAsia="宋体"/>
          <w:lang w:val="zh-CN"/>
        </w:rPr>
      </w:pPr>
      <w:r>
        <w:rPr>
          <w:rFonts w:hint="eastAsia" w:ascii="宋体" w:hAnsi="宋体" w:eastAsia="宋体"/>
          <w:lang w:val="zh-CN"/>
        </w:rPr>
        <w:t>实现发票交接全程记录，便捷追溯发票位置，对发票到票（补登)、已付、未付情况进行管理。</w:t>
      </w:r>
    </w:p>
    <w:p>
      <w:pPr>
        <w:pStyle w:val="57"/>
        <w:numPr>
          <w:ilvl w:val="0"/>
          <w:numId w:val="13"/>
        </w:numPr>
        <w:tabs>
          <w:tab w:val="left" w:pos="720"/>
        </w:tabs>
        <w:ind w:firstLineChars="0"/>
        <w:jc w:val="left"/>
        <w:rPr>
          <w:rFonts w:ascii="宋体" w:hAnsi="宋体" w:eastAsia="宋体"/>
          <w:lang w:val="zh-CN"/>
        </w:rPr>
      </w:pPr>
      <w:r>
        <w:rPr>
          <w:rFonts w:hint="eastAsia" w:ascii="宋体" w:hAnsi="宋体" w:eastAsia="宋体"/>
          <w:lang w:val="zh-CN"/>
        </w:rPr>
        <w:t>实现供应商对账功能，要求提供应付款和发票的全程跟踪管理，由院方财务管理要求限定供应商开票规则，使开票更高效和准确，方便医院管理。</w:t>
      </w:r>
    </w:p>
    <w:p>
      <w:pPr>
        <w:pStyle w:val="57"/>
        <w:numPr>
          <w:ilvl w:val="0"/>
          <w:numId w:val="13"/>
        </w:numPr>
        <w:tabs>
          <w:tab w:val="left" w:pos="720"/>
        </w:tabs>
        <w:ind w:firstLineChars="0"/>
        <w:jc w:val="left"/>
        <w:rPr>
          <w:rFonts w:ascii="宋体" w:hAnsi="宋体" w:eastAsia="宋体"/>
          <w:lang w:val="zh-CN"/>
        </w:rPr>
      </w:pPr>
      <w:r>
        <w:rPr>
          <w:rFonts w:hint="eastAsia" w:ascii="宋体" w:hAnsi="宋体" w:eastAsia="宋体"/>
          <w:lang w:val="zh-CN"/>
        </w:rPr>
        <w:t>实现预算项目维护管理功能。</w:t>
      </w:r>
    </w:p>
    <w:p>
      <w:pPr>
        <w:pStyle w:val="57"/>
        <w:numPr>
          <w:ilvl w:val="0"/>
          <w:numId w:val="13"/>
        </w:numPr>
        <w:tabs>
          <w:tab w:val="left" w:pos="720"/>
        </w:tabs>
        <w:ind w:firstLineChars="0"/>
        <w:jc w:val="left"/>
        <w:rPr>
          <w:rFonts w:ascii="宋体" w:hAnsi="宋体" w:eastAsia="宋体"/>
          <w:lang w:val="zh-CN"/>
        </w:rPr>
      </w:pPr>
      <w:r>
        <w:rPr>
          <w:rFonts w:hint="eastAsia" w:ascii="宋体" w:hAnsi="宋体" w:eastAsia="宋体"/>
          <w:lang w:val="zh-CN"/>
        </w:rPr>
        <w:t>实现年度预算设定维护功能。</w:t>
      </w:r>
    </w:p>
    <w:p>
      <w:pPr>
        <w:pStyle w:val="57"/>
        <w:numPr>
          <w:ilvl w:val="0"/>
          <w:numId w:val="13"/>
        </w:numPr>
        <w:tabs>
          <w:tab w:val="left" w:pos="720"/>
        </w:tabs>
        <w:ind w:firstLineChars="0"/>
        <w:jc w:val="left"/>
        <w:rPr>
          <w:rFonts w:ascii="宋体" w:hAnsi="宋体" w:eastAsia="宋体"/>
        </w:rPr>
      </w:pPr>
      <w:r>
        <w:rPr>
          <w:rFonts w:hint="eastAsia" w:ascii="宋体" w:hAnsi="宋体" w:eastAsia="宋体"/>
          <w:lang w:val="zh-CN"/>
        </w:rPr>
        <w:t>实现发票和应付款的数据进行查询和汇总统计功能，并使用高级组合查询方式，使财务部门日常各种查询和调取数据要求。包含库存报损报表、库存盘点报表、入库明细报表、出库明细报表、收支月报表、业务明细报表、业务汇总报表、业务数额报表、库房库存报表、供应商入库月报表。</w:t>
      </w:r>
    </w:p>
    <w:p>
      <w:pPr>
        <w:rPr>
          <w:rFonts w:ascii="宋体" w:hAnsi="宋体" w:eastAsia="宋体"/>
          <w:b/>
          <w:bCs/>
          <w:sz w:val="28"/>
          <w:szCs w:val="28"/>
          <w:lang w:val="zh-CN"/>
        </w:rPr>
      </w:pPr>
      <w:r>
        <w:rPr>
          <w:rFonts w:hint="eastAsia" w:ascii="宋体" w:hAnsi="宋体" w:eastAsia="宋体"/>
          <w:b/>
          <w:bCs/>
          <w:sz w:val="28"/>
          <w:szCs w:val="28"/>
          <w:lang w:val="zh-CN"/>
        </w:rPr>
        <w:t>十一、检验科二级库系统</w:t>
      </w:r>
    </w:p>
    <w:p>
      <w:pPr>
        <w:pStyle w:val="57"/>
        <w:numPr>
          <w:ilvl w:val="0"/>
          <w:numId w:val="14"/>
        </w:numPr>
        <w:ind w:firstLineChars="0"/>
        <w:rPr>
          <w:rFonts w:ascii="宋体" w:hAnsi="宋体" w:eastAsia="宋体"/>
        </w:rPr>
      </w:pPr>
      <w:r>
        <w:rPr>
          <w:rFonts w:ascii="宋体" w:hAnsi="宋体" w:eastAsia="宋体"/>
        </w:rPr>
        <w:t>试剂库房管理</w:t>
      </w:r>
      <w:r>
        <w:rPr>
          <w:rFonts w:hint="eastAsia" w:ascii="宋体" w:hAnsi="宋体" w:eastAsia="宋体"/>
        </w:rPr>
        <w:t>：</w:t>
      </w:r>
      <w:r>
        <w:rPr>
          <w:rFonts w:ascii="宋体" w:hAnsi="宋体" w:eastAsia="宋体"/>
        </w:rPr>
        <w:t>满足检验科二级库试剂库存管理要求</w:t>
      </w:r>
    </w:p>
    <w:p>
      <w:pPr>
        <w:rPr>
          <w:rFonts w:ascii="宋体" w:hAnsi="宋体" w:eastAsia="宋体"/>
        </w:rPr>
      </w:pPr>
      <w:r>
        <w:rPr>
          <w:rFonts w:ascii="宋体" w:hAnsi="宋体" w:eastAsia="宋体"/>
        </w:rPr>
        <w:t>1.1 试剂库存</w:t>
      </w:r>
      <w:r>
        <w:rPr>
          <w:rFonts w:hint="eastAsia" w:ascii="宋体" w:hAnsi="宋体" w:eastAsia="宋体"/>
        </w:rPr>
        <w:t>：</w:t>
      </w:r>
      <w:r>
        <w:rPr>
          <w:rFonts w:ascii="宋体" w:hAnsi="宋体" w:eastAsia="宋体"/>
        </w:rPr>
        <w:t>满足试剂库存管理和查询要求</w:t>
      </w:r>
    </w:p>
    <w:p>
      <w:pPr>
        <w:rPr>
          <w:rFonts w:ascii="宋体" w:hAnsi="宋体" w:eastAsia="宋体"/>
        </w:rPr>
      </w:pPr>
      <w:r>
        <w:rPr>
          <w:rFonts w:ascii="宋体" w:hAnsi="宋体" w:eastAsia="宋体"/>
        </w:rPr>
        <w:t>1.2 高低储设置</w:t>
      </w:r>
      <w:r>
        <w:rPr>
          <w:rFonts w:hint="eastAsia" w:ascii="宋体" w:hAnsi="宋体" w:eastAsia="宋体"/>
        </w:rPr>
        <w:t>：</w:t>
      </w:r>
      <w:r>
        <w:rPr>
          <w:rFonts w:ascii="宋体" w:hAnsi="宋体" w:eastAsia="宋体"/>
        </w:rPr>
        <w:t>设置了备货高低储的物品，手工或直接跳出提醒功能，提醒存在低于低储值的物品和有效期较短的物品。</w:t>
      </w:r>
    </w:p>
    <w:p>
      <w:pPr>
        <w:rPr>
          <w:rFonts w:ascii="宋体" w:hAnsi="宋体" w:eastAsia="宋体"/>
        </w:rPr>
      </w:pPr>
      <w:r>
        <w:rPr>
          <w:rFonts w:ascii="宋体" w:hAnsi="宋体" w:eastAsia="宋体"/>
        </w:rPr>
        <w:t>1.3入库验收</w:t>
      </w:r>
      <w:r>
        <w:rPr>
          <w:rFonts w:hint="eastAsia" w:ascii="宋体" w:hAnsi="宋体" w:eastAsia="宋体"/>
        </w:rPr>
        <w:t>：</w:t>
      </w:r>
      <w:r>
        <w:rPr>
          <w:rFonts w:ascii="宋体" w:hAnsi="宋体" w:eastAsia="宋体"/>
        </w:rPr>
        <w:t>验收实物，一级库进行审核记账</w:t>
      </w:r>
      <w:r>
        <w:rPr>
          <w:rFonts w:hint="eastAsia" w:ascii="宋体" w:hAnsi="宋体" w:eastAsia="宋体"/>
        </w:rPr>
        <w:t>。</w:t>
      </w:r>
    </w:p>
    <w:p>
      <w:pPr>
        <w:rPr>
          <w:rFonts w:ascii="宋体" w:hAnsi="宋体" w:eastAsia="宋体"/>
        </w:rPr>
      </w:pPr>
      <w:r>
        <w:rPr>
          <w:rFonts w:ascii="宋体" w:hAnsi="宋体" w:eastAsia="宋体"/>
        </w:rPr>
        <w:t>1.4 正常领料</w:t>
      </w:r>
      <w:r>
        <w:rPr>
          <w:rFonts w:hint="eastAsia" w:ascii="宋体" w:hAnsi="宋体" w:eastAsia="宋体"/>
        </w:rPr>
        <w:t>：</w:t>
      </w:r>
      <w:r>
        <w:rPr>
          <w:rFonts w:ascii="宋体" w:hAnsi="宋体" w:eastAsia="宋体"/>
        </w:rPr>
        <w:t>满足检验科日常材料的申领</w:t>
      </w:r>
      <w:r>
        <w:rPr>
          <w:rFonts w:hint="eastAsia" w:ascii="宋体" w:hAnsi="宋体" w:eastAsia="宋体"/>
        </w:rPr>
        <w:t>。</w:t>
      </w:r>
    </w:p>
    <w:p>
      <w:pPr>
        <w:rPr>
          <w:rFonts w:ascii="宋体" w:hAnsi="宋体" w:eastAsia="宋体"/>
        </w:rPr>
      </w:pPr>
      <w:r>
        <w:rPr>
          <w:rFonts w:ascii="宋体" w:hAnsi="宋体" w:eastAsia="宋体"/>
        </w:rPr>
        <w:t>1.5领料记录</w:t>
      </w:r>
      <w:r>
        <w:rPr>
          <w:rFonts w:hint="eastAsia" w:ascii="宋体" w:hAnsi="宋体" w:eastAsia="宋体"/>
        </w:rPr>
        <w:t>：</w:t>
      </w:r>
      <w:r>
        <w:rPr>
          <w:rFonts w:ascii="宋体" w:hAnsi="宋体" w:eastAsia="宋体"/>
        </w:rPr>
        <w:t>在医院耗材管理系统的“领用记录”节点的基础上完善“采购状态”，分为：未审核、二级库已审核、采购已下单、在途、已入一级库、已入二级库、已出库。</w:t>
      </w:r>
    </w:p>
    <w:p>
      <w:pPr>
        <w:rPr>
          <w:rFonts w:ascii="宋体" w:hAnsi="宋体" w:eastAsia="宋体"/>
        </w:rPr>
      </w:pPr>
      <w:r>
        <w:rPr>
          <w:rFonts w:ascii="宋体" w:hAnsi="宋体" w:eastAsia="宋体"/>
        </w:rPr>
        <w:t>1.6 领料审核</w:t>
      </w:r>
      <w:r>
        <w:rPr>
          <w:rFonts w:hint="eastAsia" w:ascii="宋体" w:hAnsi="宋体" w:eastAsia="宋体"/>
        </w:rPr>
        <w:t>：</w:t>
      </w:r>
      <w:r>
        <w:rPr>
          <w:rFonts w:ascii="宋体" w:hAnsi="宋体" w:eastAsia="宋体"/>
        </w:rPr>
        <w:t>查看领料相应物品，并可以直接编辑提交二级库审核。各小组负责人也可以选择本组的设备跳出相应的耗材，编辑数量后提交二级库审核。</w:t>
      </w:r>
    </w:p>
    <w:p>
      <w:pPr>
        <w:rPr>
          <w:rFonts w:ascii="宋体" w:hAnsi="宋体" w:eastAsia="宋体"/>
        </w:rPr>
      </w:pPr>
      <w:r>
        <w:rPr>
          <w:rFonts w:ascii="宋体" w:hAnsi="宋体" w:eastAsia="宋体"/>
        </w:rPr>
        <w:t>1.7 入库记录</w:t>
      </w:r>
      <w:r>
        <w:rPr>
          <w:rFonts w:hint="eastAsia" w:ascii="宋体" w:hAnsi="宋体" w:eastAsia="宋体"/>
        </w:rPr>
        <w:t>；</w:t>
      </w:r>
      <w:r>
        <w:rPr>
          <w:rFonts w:ascii="宋体" w:hAnsi="宋体" w:eastAsia="宋体"/>
        </w:rPr>
        <w:t>试剂入库</w:t>
      </w:r>
      <w:r>
        <w:rPr>
          <w:rFonts w:hint="eastAsia" w:ascii="宋体" w:hAnsi="宋体" w:eastAsia="宋体"/>
        </w:rPr>
        <w:t>。</w:t>
      </w:r>
    </w:p>
    <w:p>
      <w:pPr>
        <w:rPr>
          <w:rFonts w:ascii="宋体" w:hAnsi="宋体" w:eastAsia="宋体"/>
        </w:rPr>
      </w:pPr>
      <w:r>
        <w:rPr>
          <w:rFonts w:ascii="宋体" w:hAnsi="宋体" w:eastAsia="宋体"/>
        </w:rPr>
        <w:t>1.8 出库制单</w:t>
      </w:r>
      <w:r>
        <w:rPr>
          <w:rFonts w:hint="eastAsia" w:ascii="宋体" w:hAnsi="宋体" w:eastAsia="宋体"/>
        </w:rPr>
        <w:t>：</w:t>
      </w:r>
      <w:r>
        <w:rPr>
          <w:rFonts w:ascii="宋体" w:hAnsi="宋体" w:eastAsia="宋体"/>
        </w:rPr>
        <w:t>有效期管理（弹窗），有效期提醒，有效期查询扫码出库：根据PC端进行扫码出库操作</w:t>
      </w:r>
      <w:r>
        <w:rPr>
          <w:rFonts w:hint="eastAsia" w:ascii="宋体" w:hAnsi="宋体" w:eastAsia="宋体"/>
        </w:rPr>
        <w:t>；</w:t>
      </w:r>
      <w:r>
        <w:rPr>
          <w:rFonts w:ascii="宋体" w:hAnsi="宋体" w:eastAsia="宋体"/>
        </w:rPr>
        <w:t>手动出库</w:t>
      </w:r>
      <w:r>
        <w:rPr>
          <w:rFonts w:hint="eastAsia" w:ascii="宋体" w:hAnsi="宋体" w:eastAsia="宋体"/>
        </w:rPr>
        <w:t>：</w:t>
      </w:r>
      <w:r>
        <w:rPr>
          <w:rFonts w:ascii="宋体" w:hAnsi="宋体" w:eastAsia="宋体"/>
        </w:rPr>
        <w:t>查询出相应耗材名称，点击出库，要有提醒批次更老（效期更短）的物品先出的功能。</w:t>
      </w:r>
    </w:p>
    <w:p>
      <w:pPr>
        <w:rPr>
          <w:rFonts w:ascii="宋体" w:hAnsi="宋体" w:eastAsia="宋体"/>
        </w:rPr>
      </w:pPr>
      <w:r>
        <w:rPr>
          <w:rFonts w:ascii="宋体" w:hAnsi="宋体" w:eastAsia="宋体"/>
        </w:rPr>
        <w:t>1.9 盘存管理</w:t>
      </w:r>
      <w:r>
        <w:rPr>
          <w:rFonts w:hint="eastAsia" w:ascii="宋体" w:hAnsi="宋体" w:eastAsia="宋体"/>
        </w:rPr>
        <w:t>：</w:t>
      </w:r>
      <w:r>
        <w:rPr>
          <w:rFonts w:ascii="宋体" w:hAnsi="宋体" w:eastAsia="宋体"/>
        </w:rPr>
        <w:t>实现检验二级库日常库存盘存功能</w:t>
      </w:r>
      <w:r>
        <w:rPr>
          <w:rFonts w:hint="eastAsia" w:ascii="宋体" w:hAnsi="宋体" w:eastAsia="宋体"/>
        </w:rPr>
        <w:t>。</w:t>
      </w:r>
    </w:p>
    <w:p>
      <w:pPr>
        <w:rPr>
          <w:rFonts w:ascii="宋体" w:hAnsi="宋体" w:eastAsia="宋体"/>
        </w:rPr>
      </w:pPr>
      <w:r>
        <w:rPr>
          <w:rFonts w:ascii="宋体" w:hAnsi="宋体" w:eastAsia="宋体"/>
        </w:rPr>
        <w:t>1.10 统计报表</w:t>
      </w:r>
      <w:r>
        <w:rPr>
          <w:rFonts w:hint="eastAsia" w:ascii="宋体" w:hAnsi="宋体" w:eastAsia="宋体"/>
        </w:rPr>
        <w:t>：</w:t>
      </w:r>
      <w:r>
        <w:rPr>
          <w:rFonts w:ascii="宋体" w:hAnsi="宋体" w:eastAsia="宋体"/>
        </w:rPr>
        <w:t>二级库入库、出库报表，一级库的出库报表（含二级库出库但采购中心未审核的部分）</w:t>
      </w:r>
      <w:r>
        <w:rPr>
          <w:rFonts w:hint="eastAsia" w:ascii="宋体" w:hAnsi="宋体" w:eastAsia="宋体"/>
        </w:rPr>
        <w:t>；统计条件：时间段、小组、设备、耗材名称、供货商、收费码等；按小组、设备、均可以查库存、某时间段的入库量、入库金额，出库量、出库金额。</w:t>
      </w:r>
    </w:p>
    <w:p>
      <w:pPr>
        <w:pStyle w:val="57"/>
        <w:numPr>
          <w:ilvl w:val="0"/>
          <w:numId w:val="14"/>
        </w:numPr>
        <w:ind w:firstLineChars="0"/>
        <w:rPr>
          <w:rFonts w:ascii="宋体" w:hAnsi="宋体" w:eastAsia="宋体"/>
        </w:rPr>
      </w:pPr>
      <w:r>
        <w:rPr>
          <w:rFonts w:ascii="宋体" w:hAnsi="宋体" w:eastAsia="宋体"/>
        </w:rPr>
        <w:t>试剂字典</w:t>
      </w:r>
      <w:r>
        <w:rPr>
          <w:rFonts w:ascii="宋体" w:hAnsi="宋体" w:eastAsia="宋体"/>
        </w:rPr>
        <w:tab/>
      </w:r>
    </w:p>
    <w:p>
      <w:pPr>
        <w:rPr>
          <w:rFonts w:ascii="宋体" w:hAnsi="宋体" w:eastAsia="宋体"/>
        </w:rPr>
      </w:pPr>
      <w:r>
        <w:rPr>
          <w:rFonts w:ascii="宋体" w:hAnsi="宋体" w:eastAsia="宋体"/>
        </w:rPr>
        <w:tab/>
      </w:r>
      <w:r>
        <w:rPr>
          <w:rFonts w:ascii="宋体" w:hAnsi="宋体" w:eastAsia="宋体"/>
        </w:rPr>
        <w:t>物资字典在“检验耗材”的核算类别下再分类（9类）：检验材料、临检类试剂、免疫类试剂、免疫类试剂（含生化方法）、凝血类试剂（含生化、免疫方法）、生化类试剂（含免疫方法）、生殖遗传学试剂耗材、微生物类试剂（含免疫方法）、其他检验试剂或检验耗材，医院系统物资字典中完善好“LIS对应码”，即收费码。可否一对多。添加分类，维护单位（尽量与省平台一样）</w:t>
      </w:r>
      <w:r>
        <w:rPr>
          <w:rFonts w:hint="eastAsia" w:ascii="宋体" w:hAnsi="宋体" w:eastAsia="宋体"/>
        </w:rPr>
        <w:t>。</w:t>
      </w:r>
    </w:p>
    <w:p>
      <w:pPr>
        <w:pStyle w:val="57"/>
        <w:numPr>
          <w:ilvl w:val="0"/>
          <w:numId w:val="14"/>
        </w:numPr>
        <w:ind w:firstLineChars="0"/>
        <w:rPr>
          <w:rFonts w:ascii="宋体" w:hAnsi="宋体" w:eastAsia="宋体"/>
        </w:rPr>
      </w:pPr>
      <w:r>
        <w:rPr>
          <w:rFonts w:ascii="宋体" w:hAnsi="宋体" w:eastAsia="宋体"/>
        </w:rPr>
        <w:t>分组设定</w:t>
      </w:r>
      <w:r>
        <w:rPr>
          <w:rFonts w:ascii="宋体" w:hAnsi="宋体" w:eastAsia="宋体"/>
        </w:rPr>
        <w:tab/>
      </w:r>
    </w:p>
    <w:p>
      <w:pPr>
        <w:rPr>
          <w:rFonts w:ascii="宋体" w:hAnsi="宋体" w:eastAsia="宋体"/>
        </w:rPr>
      </w:pPr>
      <w:r>
        <w:rPr>
          <w:rFonts w:ascii="宋体" w:hAnsi="宋体" w:eastAsia="宋体"/>
        </w:rPr>
        <w:tab/>
      </w:r>
      <w:r>
        <w:rPr>
          <w:rFonts w:ascii="宋体" w:hAnsi="宋体" w:eastAsia="宋体"/>
        </w:rPr>
        <w:t>满足分组和人员角色管理</w:t>
      </w:r>
    </w:p>
    <w:p>
      <w:pPr>
        <w:rPr>
          <w:rFonts w:ascii="宋体" w:hAnsi="宋体" w:eastAsia="宋体"/>
        </w:rPr>
      </w:pPr>
      <w:r>
        <w:rPr>
          <w:rFonts w:ascii="宋体" w:hAnsi="宋体" w:eastAsia="宋体"/>
        </w:rPr>
        <w:t>3.1组别设定</w:t>
      </w:r>
      <w:r>
        <w:rPr>
          <w:rFonts w:ascii="宋体" w:hAnsi="宋体" w:eastAsia="宋体"/>
        </w:rPr>
        <w:tab/>
      </w:r>
    </w:p>
    <w:p>
      <w:pPr>
        <w:rPr>
          <w:rFonts w:ascii="宋体" w:hAnsi="宋体" w:eastAsia="宋体"/>
        </w:rPr>
      </w:pPr>
      <w:r>
        <w:rPr>
          <w:rFonts w:ascii="宋体" w:hAnsi="宋体" w:eastAsia="宋体"/>
        </w:rPr>
        <w:tab/>
      </w:r>
      <w:r>
        <w:rPr>
          <w:rFonts w:ascii="宋体" w:hAnsi="宋体" w:eastAsia="宋体"/>
        </w:rPr>
        <w:t>采购中心、检验科主任或者二级库仓库管理员可以自定义添加、编辑各个专业组的名称，制定负责人；专业组下面可以添加、编辑各个设备，各种设备下面可以关联相应的耗材</w:t>
      </w:r>
      <w:r>
        <w:rPr>
          <w:rFonts w:hint="eastAsia" w:ascii="宋体" w:hAnsi="宋体" w:eastAsia="宋体"/>
        </w:rPr>
        <w:t>。</w:t>
      </w:r>
    </w:p>
    <w:p>
      <w:pPr>
        <w:rPr>
          <w:rFonts w:ascii="宋体" w:hAnsi="宋体" w:eastAsia="宋体"/>
        </w:rPr>
      </w:pPr>
      <w:r>
        <w:rPr>
          <w:rFonts w:ascii="宋体" w:hAnsi="宋体" w:eastAsia="宋体"/>
        </w:rPr>
        <w:t>3.2人员管理</w:t>
      </w:r>
      <w:r>
        <w:rPr>
          <w:rFonts w:ascii="宋体" w:hAnsi="宋体" w:eastAsia="宋体"/>
        </w:rPr>
        <w:tab/>
      </w:r>
    </w:p>
    <w:p>
      <w:pPr>
        <w:rPr>
          <w:rFonts w:ascii="宋体" w:hAnsi="宋体" w:eastAsia="宋体"/>
        </w:rPr>
      </w:pPr>
      <w:r>
        <w:rPr>
          <w:rFonts w:ascii="宋体" w:hAnsi="宋体" w:eastAsia="宋体"/>
        </w:rPr>
        <w:tab/>
      </w:r>
      <w:r>
        <w:rPr>
          <w:rFonts w:ascii="宋体" w:hAnsi="宋体" w:eastAsia="宋体"/>
        </w:rPr>
        <w:t>检验科人员信息维护、所在组授权</w:t>
      </w:r>
      <w:r>
        <w:rPr>
          <w:rFonts w:hint="eastAsia" w:ascii="宋体" w:hAnsi="宋体" w:eastAsia="宋体"/>
        </w:rPr>
        <w:t>。</w:t>
      </w:r>
    </w:p>
    <w:p>
      <w:pPr>
        <w:tabs>
          <w:tab w:val="left" w:pos="720"/>
        </w:tabs>
        <w:jc w:val="left"/>
        <w:rPr>
          <w:rFonts w:ascii="宋体" w:hAnsi="宋体" w:eastAsia="宋体"/>
          <w:b/>
          <w:bCs/>
          <w:color w:val="333333"/>
          <w:lang w:val="zh-CN"/>
        </w:rPr>
      </w:pPr>
      <w:r>
        <w:rPr>
          <w:rFonts w:hint="eastAsia" w:ascii="宋体" w:hAnsi="宋体" w:eastAsia="宋体"/>
          <w:b/>
          <w:bCs/>
          <w:color w:val="333333"/>
          <w:lang w:val="zh-CN"/>
        </w:rPr>
        <w:t>十一、供应商云平台</w:t>
      </w:r>
    </w:p>
    <w:p>
      <w:pPr>
        <w:pStyle w:val="57"/>
        <w:numPr>
          <w:ilvl w:val="0"/>
          <w:numId w:val="15"/>
        </w:numPr>
        <w:tabs>
          <w:tab w:val="left" w:pos="720"/>
        </w:tabs>
        <w:ind w:firstLineChars="0"/>
        <w:jc w:val="left"/>
        <w:rPr>
          <w:rFonts w:ascii="宋体" w:hAnsi="宋体" w:eastAsia="宋体"/>
          <w:lang w:val="zh-CN"/>
        </w:rPr>
      </w:pPr>
      <w:r>
        <w:rPr>
          <w:rFonts w:hint="eastAsia" w:ascii="宋体" w:hAnsi="宋体" w:eastAsia="宋体"/>
          <w:lang w:val="zh-CN"/>
        </w:rPr>
        <w:t>实现供应商资质管理、产品信息的上传更新、采购订单的实时处理、证件的过期预警、发票信息的补入、采购数据统计分析。</w:t>
      </w:r>
    </w:p>
    <w:p>
      <w:pPr>
        <w:pStyle w:val="57"/>
        <w:numPr>
          <w:ilvl w:val="0"/>
          <w:numId w:val="15"/>
        </w:numPr>
        <w:tabs>
          <w:tab w:val="left" w:pos="720"/>
        </w:tabs>
        <w:ind w:firstLineChars="0"/>
        <w:jc w:val="left"/>
        <w:rPr>
          <w:rFonts w:ascii="宋体" w:hAnsi="宋体" w:eastAsia="宋体"/>
          <w:lang w:val="zh-CN"/>
        </w:rPr>
      </w:pPr>
      <w:r>
        <w:rPr>
          <w:rFonts w:hint="eastAsia" w:ascii="宋体" w:hAnsi="宋体" w:eastAsia="宋体"/>
          <w:lang w:val="zh-CN"/>
        </w:rPr>
        <w:t>网络安全要实现内外网隔离安全通道，网闸或其他技术形式实现。</w:t>
      </w:r>
    </w:p>
    <w:p>
      <w:pPr>
        <w:rPr>
          <w:rFonts w:ascii="宋体" w:hAnsi="宋体" w:eastAsia="宋体" w:cs="宋体"/>
          <w:b/>
          <w:bCs/>
          <w:sz w:val="32"/>
          <w:szCs w:val="32"/>
        </w:rPr>
      </w:pPr>
    </w:p>
    <w:bookmarkEnd w:id="0"/>
    <w:p>
      <w:pPr>
        <w:pStyle w:val="32"/>
        <w:jc w:val="both"/>
        <w:rPr>
          <w:rFonts w:ascii="宋体" w:hAnsi="宋体" w:eastAsia="宋体"/>
        </w:rPr>
      </w:pPr>
      <w:r>
        <w:rPr>
          <w:rFonts w:hint="eastAsia" w:ascii="宋体" w:hAnsi="宋体" w:eastAsia="宋体"/>
        </w:rPr>
        <w:t>项目实施要求</w:t>
      </w:r>
    </w:p>
    <w:p>
      <w:pPr>
        <w:pStyle w:val="48"/>
        <w:rPr>
          <w:rFonts w:ascii="宋体" w:hAnsi="宋体" w:eastAsia="宋体" w:cs="宋体"/>
        </w:rPr>
      </w:pPr>
      <w:r>
        <w:rPr>
          <w:rFonts w:hint="eastAsia" w:ascii="宋体" w:hAnsi="宋体" w:eastAsia="宋体" w:cs="宋体"/>
        </w:rPr>
        <w:t>开发施工完成时间：系统需在合同签订后</w:t>
      </w:r>
      <w:r>
        <w:rPr>
          <w:rFonts w:hint="eastAsia" w:ascii="宋体" w:hAnsi="宋体" w:eastAsia="宋体" w:cs="宋体"/>
          <w:u w:val="single"/>
        </w:rPr>
        <w:t xml:space="preserve"> </w:t>
      </w:r>
      <w:r>
        <w:rPr>
          <w:rFonts w:hint="eastAsia" w:ascii="宋体" w:hAnsi="宋体" w:eastAsia="宋体" w:cs="宋体"/>
          <w:highlight w:val="yellow"/>
          <w:u w:val="single"/>
        </w:rPr>
        <w:t>三个月</w:t>
      </w:r>
      <w:r>
        <w:rPr>
          <w:rFonts w:hint="eastAsia" w:ascii="宋体" w:hAnsi="宋体" w:eastAsia="宋体" w:cs="宋体"/>
          <w:u w:val="single"/>
        </w:rPr>
        <w:t xml:space="preserve"> </w:t>
      </w:r>
      <w:r>
        <w:rPr>
          <w:rFonts w:hint="eastAsia" w:ascii="宋体" w:hAnsi="宋体" w:eastAsia="宋体" w:cs="宋体"/>
        </w:rPr>
        <w:t>内完成调研、开发、测试、部署等全部工作，之后进行试用、验收后交付用户单位正常使用，且提供培训。如不能按时全部完成的，每延迟一天将按合同总价的千分之一/天扣除违约金，延迟超过十五个日历日，采购方可视为合同自动解除。</w:t>
      </w:r>
    </w:p>
    <w:p>
      <w:pPr>
        <w:pStyle w:val="48"/>
        <w:ind w:firstLine="0" w:firstLineChars="0"/>
        <w:rPr>
          <w:rFonts w:ascii="宋体" w:hAnsi="宋体" w:eastAsia="宋体" w:cs="宋体"/>
        </w:rPr>
      </w:pPr>
      <w:r>
        <w:rPr>
          <w:rFonts w:ascii="宋体" w:hAnsi="宋体" w:eastAsia="宋体" w:cs="宋体"/>
        </w:rPr>
        <w:tab/>
      </w:r>
      <w:r>
        <w:rPr>
          <w:rFonts w:hint="eastAsia" w:ascii="宋体" w:hAnsi="宋体" w:eastAsia="宋体" w:cs="宋体"/>
        </w:rPr>
        <w:t>中标供应商必须在投标文件中提供完整、详细、合理、真实的施工计划、人员安排和施工进度表。</w:t>
      </w:r>
    </w:p>
    <w:p>
      <w:pPr>
        <w:pStyle w:val="32"/>
        <w:jc w:val="both"/>
        <w:rPr>
          <w:rFonts w:ascii="宋体" w:hAnsi="宋体" w:eastAsia="宋体"/>
        </w:rPr>
      </w:pPr>
      <w:bookmarkStart w:id="2" w:name="OLE_LINK1"/>
      <w:r>
        <w:rPr>
          <w:rFonts w:hint="eastAsia" w:ascii="宋体" w:hAnsi="宋体" w:eastAsia="宋体"/>
        </w:rPr>
        <w:t>项目售后服务要求</w:t>
      </w:r>
      <w:bookmarkEnd w:id="2"/>
      <w:bookmarkStart w:id="3" w:name="_GoBack"/>
      <w:bookmarkEnd w:id="3"/>
    </w:p>
    <w:p>
      <w:pPr>
        <w:rPr>
          <w:rFonts w:ascii="宋体" w:hAnsi="宋体" w:eastAsia="宋体"/>
        </w:rPr>
      </w:pPr>
      <w:r>
        <w:rPr>
          <w:rFonts w:ascii="宋体" w:hAnsi="宋体" w:eastAsia="宋体"/>
        </w:rPr>
        <w:tab/>
      </w:r>
      <w:r>
        <w:rPr>
          <w:rFonts w:hint="eastAsia" w:ascii="宋体" w:hAnsi="宋体" w:eastAsia="宋体"/>
        </w:rPr>
        <w:t>质保期：本投标项目系统提供</w:t>
      </w:r>
      <w:r>
        <w:rPr>
          <w:rFonts w:hint="eastAsia" w:ascii="宋体" w:hAnsi="宋体" w:eastAsia="宋体"/>
          <w:u w:val="single"/>
        </w:rPr>
        <w:t xml:space="preserve"> </w:t>
      </w:r>
      <w:r>
        <w:rPr>
          <w:rFonts w:hint="eastAsia" w:ascii="宋体" w:hAnsi="宋体" w:eastAsia="宋体"/>
          <w:u w:val="single"/>
          <w:lang w:val="en-US" w:eastAsia="zh-CN"/>
        </w:rPr>
        <w:t>三年</w:t>
      </w:r>
      <w:r>
        <w:rPr>
          <w:rFonts w:hint="eastAsia" w:ascii="宋体" w:hAnsi="宋体" w:eastAsia="宋体"/>
          <w:u w:val="single"/>
        </w:rPr>
        <w:t xml:space="preserve"> </w:t>
      </w:r>
      <w:r>
        <w:rPr>
          <w:rFonts w:hint="eastAsia" w:ascii="宋体" w:hAnsi="宋体" w:eastAsia="宋体"/>
        </w:rPr>
        <w:t>年免费质保。</w:t>
      </w:r>
    </w:p>
    <w:p>
      <w:pPr>
        <w:rPr>
          <w:rFonts w:ascii="宋体" w:hAnsi="宋体" w:eastAsia="宋体"/>
        </w:rPr>
      </w:pPr>
      <w:r>
        <w:rPr>
          <w:rFonts w:ascii="宋体" w:hAnsi="宋体" w:eastAsia="宋体"/>
        </w:rPr>
        <w:tab/>
      </w:r>
      <w:r>
        <w:rPr>
          <w:rFonts w:hint="eastAsia" w:ascii="宋体" w:hAnsi="宋体" w:eastAsia="宋体"/>
        </w:rPr>
        <w:t>质保期服务内容：软件的安装调试、软件功能维护、软件功能修改及用户咨询。提供电话、远程等支持，解答用户疑问，指导用户解决常见故障。出现重大故障时，1小时内响应，无法远程解决时，8小时内赶到现场。</w:t>
      </w:r>
    </w:p>
    <w:sectPr>
      <w:headerReference r:id="rId5" w:type="default"/>
      <w:footerReference r:id="rId7" w:type="default"/>
      <w:headerReference r:id="rId6" w:type="even"/>
      <w:pgSz w:w="11906" w:h="16838"/>
      <w:pgMar w:top="1440" w:right="1800" w:bottom="1440" w:left="1800" w:header="851" w:footer="992" w:gutter="0"/>
      <w:cols w:space="720" w:num="1"/>
      <w:titlePg/>
      <w:docGrid w:type="lines" w:linePitch="332" w:charSpace="87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330" w:firstLineChars="1850"/>
      <w:rPr>
        <w:kern w:val="0"/>
      </w:rPr>
    </w:pPr>
  </w:p>
  <w:p>
    <w:pPr>
      <w:pStyle w:val="23"/>
      <w:ind w:firstLine="3330" w:firstLineChars="1850"/>
    </w:pPr>
    <w:r>
      <w:rPr>
        <w:rFonts w:hint="eastAsia"/>
        <w:kern w:val="0"/>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chineseCountingThousand"/>
      <w:suff w:val="nothing"/>
      <w:lvlText w:val="第%1部分 "/>
      <w:lvlJc w:val="left"/>
      <w:pPr>
        <w:ind w:left="1800" w:firstLine="0"/>
      </w:pPr>
      <w:rPr>
        <w:rFonts w:hint="eastAsia" w:ascii="黑体" w:hAnsi="Times New Roman" w:eastAsia="黑体"/>
        <w:b/>
        <w:i w:val="0"/>
        <w:sz w:val="52"/>
      </w:rPr>
    </w:lvl>
    <w:lvl w:ilvl="1" w:tentative="0">
      <w:start w:val="1"/>
      <w:numFmt w:val="decimal"/>
      <w:pStyle w:val="58"/>
      <w:suff w:val="space"/>
      <w:lvlText w:val="第 %2 章"/>
      <w:lvlJc w:val="left"/>
      <w:pPr>
        <w:ind w:left="180" w:firstLine="0"/>
      </w:pPr>
      <w:rPr>
        <w:rFonts w:hint="default" w:ascii="Times New Roman" w:hAnsi="Times New Roman" w:eastAsia="黑体"/>
        <w:b/>
        <w:i w:val="0"/>
        <w:sz w:val="36"/>
      </w:rPr>
    </w:lvl>
    <w:lvl w:ilvl="2" w:tentative="0">
      <w:start w:val="1"/>
      <w:numFmt w:val="decimal"/>
      <w:pStyle w:val="59"/>
      <w:suff w:val="space"/>
      <w:lvlText w:val="%2.%3"/>
      <w:lvlJc w:val="left"/>
      <w:pPr>
        <w:ind w:left="0" w:firstLine="0"/>
      </w:pPr>
      <w:rPr>
        <w:rFonts w:hint="default" w:ascii="Times New Roman" w:hAnsi="Times New Roman" w:eastAsia="黑体"/>
        <w:b/>
        <w:i w:val="0"/>
        <w:sz w:val="32"/>
      </w:rPr>
    </w:lvl>
    <w:lvl w:ilvl="3" w:tentative="0">
      <w:start w:val="1"/>
      <w:numFmt w:val="decimal"/>
      <w:pStyle w:val="52"/>
      <w:suff w:val="nothing"/>
      <w:lvlText w:val="%2.%3.%4 "/>
      <w:lvlJc w:val="left"/>
      <w:pPr>
        <w:ind w:left="0" w:firstLine="0"/>
      </w:pPr>
      <w:rPr>
        <w:rFonts w:hint="default" w:ascii="Times New Roman" w:hAnsi="Times New Roman"/>
        <w:b w:val="0"/>
        <w:i w:val="0"/>
        <w:sz w:val="32"/>
      </w:rPr>
    </w:lvl>
    <w:lvl w:ilvl="4" w:tentative="0">
      <w:start w:val="1"/>
      <w:numFmt w:val="decimal"/>
      <w:suff w:val="nothing"/>
      <w:lvlText w:val="%2.%3.%4.%5 "/>
      <w:lvlJc w:val="left"/>
      <w:pPr>
        <w:ind w:left="0" w:firstLine="0"/>
      </w:pPr>
      <w:rPr>
        <w:rFonts w:hint="default" w:ascii="Times New Roman" w:hAnsi="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4D463FF"/>
    <w:multiLevelType w:val="multilevel"/>
    <w:tmpl w:val="04D463FF"/>
    <w:lvl w:ilvl="0" w:tentative="0">
      <w:start w:val="1"/>
      <w:numFmt w:val="chineseCountingThousand"/>
      <w:lvlText w:val="(%1)"/>
      <w:lvlJc w:val="left"/>
      <w:pPr>
        <w:ind w:left="420" w:hanging="420"/>
      </w:pPr>
    </w:lvl>
    <w:lvl w:ilvl="1" w:tentative="0">
      <w:start w:val="1"/>
      <w:numFmt w:val="chineseCountingThousand"/>
      <w:lvlText w:val="(%2)"/>
      <w:lvlJc w:val="left"/>
      <w:pPr>
        <w:ind w:left="561"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516340"/>
    <w:multiLevelType w:val="multilevel"/>
    <w:tmpl w:val="0B516340"/>
    <w:lvl w:ilvl="0" w:tentative="0">
      <w:start w:val="1"/>
      <w:numFmt w:val="japaneseCounting"/>
      <w:lvlText w:val="(%1)"/>
      <w:lvlJc w:val="left"/>
      <w:pPr>
        <w:ind w:left="528" w:hanging="408"/>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
    <w:nsid w:val="15E76473"/>
    <w:multiLevelType w:val="multilevel"/>
    <w:tmpl w:val="15E76473"/>
    <w:lvl w:ilvl="0" w:tentative="0">
      <w:start w:val="1"/>
      <w:numFmt w:val="japaneseCounting"/>
      <w:lvlText w:val="(%1)"/>
      <w:lvlJc w:val="left"/>
      <w:pPr>
        <w:ind w:left="562" w:hanging="4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1D7F5932"/>
    <w:multiLevelType w:val="multilevel"/>
    <w:tmpl w:val="1D7F5932"/>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550" w:hanging="408"/>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9F202E"/>
    <w:multiLevelType w:val="multilevel"/>
    <w:tmpl w:val="419F202E"/>
    <w:lvl w:ilvl="0" w:tentative="0">
      <w:start w:val="1"/>
      <w:numFmt w:val="chineseCountingThousand"/>
      <w:lvlText w:val="(%1)"/>
      <w:lvlJc w:val="left"/>
      <w:pPr>
        <w:ind w:left="420" w:hanging="420"/>
      </w:pPr>
    </w:lvl>
    <w:lvl w:ilvl="1" w:tentative="0">
      <w:start w:val="1"/>
      <w:numFmt w:val="chineseCountingThousand"/>
      <w:lvlText w:val="(%2)"/>
      <w:lvlJc w:val="left"/>
      <w:pPr>
        <w:ind w:left="561"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2554D7"/>
    <w:multiLevelType w:val="multilevel"/>
    <w:tmpl w:val="452554D7"/>
    <w:lvl w:ilvl="0" w:tentative="0">
      <w:start w:val="1"/>
      <w:numFmt w:val="chineseCountingThousand"/>
      <w:lvlText w:val="(%1)"/>
      <w:lvlJc w:val="left"/>
      <w:pPr>
        <w:ind w:left="420" w:hanging="420"/>
      </w:pPr>
    </w:lvl>
    <w:lvl w:ilvl="1" w:tentative="0">
      <w:start w:val="1"/>
      <w:numFmt w:val="chineseCountingThousand"/>
      <w:lvlText w:val="(%2)"/>
      <w:lvlJc w:val="left"/>
      <w:pPr>
        <w:ind w:left="561"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521588"/>
    <w:multiLevelType w:val="multilevel"/>
    <w:tmpl w:val="50521588"/>
    <w:lvl w:ilvl="0" w:tentative="0">
      <w:start w:val="1"/>
      <w:numFmt w:val="japaneseCounting"/>
      <w:lvlText w:val="%1、"/>
      <w:lvlJc w:val="left"/>
      <w:pPr>
        <w:ind w:left="720" w:hanging="720"/>
      </w:pPr>
      <w:rPr>
        <w:rFonts w:hint="default"/>
      </w:rPr>
    </w:lvl>
    <w:lvl w:ilvl="1" w:tentative="0">
      <w:start w:val="1"/>
      <w:numFmt w:val="chineseCountingThousand"/>
      <w:lvlText w:val="(%2)"/>
      <w:lvlJc w:val="left"/>
      <w:pPr>
        <w:ind w:left="561"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A608F9E"/>
    <w:multiLevelType w:val="multilevel"/>
    <w:tmpl w:val="5A608F9E"/>
    <w:lvl w:ilvl="0" w:tentative="0">
      <w:start w:val="1"/>
      <w:numFmt w:val="japaneseCounting"/>
      <w:lvlText w:val="%1、"/>
      <w:lvlJc w:val="left"/>
      <w:pPr>
        <w:ind w:left="432" w:hanging="432"/>
      </w:pPr>
      <w:rPr>
        <w:rFonts w:hint="eastAsia" w:ascii="宋体" w:hAnsi="宋体" w:eastAsia="宋体" w:cs="黑体"/>
      </w:rPr>
    </w:lvl>
    <w:lvl w:ilvl="1" w:tentative="0">
      <w:start w:val="1"/>
      <w:numFmt w:val="decimal"/>
      <w:pStyle w:val="3"/>
      <w:isLgl/>
      <w:lvlText w:val="%1.%2"/>
      <w:lvlJc w:val="left"/>
      <w:pPr>
        <w:ind w:left="1002" w:hanging="576"/>
      </w:pPr>
      <w:rPr>
        <w:rFonts w:hint="eastAsia" w:ascii="Times New Roman" w:hAnsi="Times New Roman" w:cs="Times New Roman"/>
        <w:color w:val="000000"/>
      </w:rPr>
    </w:lvl>
    <w:lvl w:ilvl="2" w:tentative="0">
      <w:start w:val="2"/>
      <w:numFmt w:val="decimal"/>
      <w:pStyle w:val="4"/>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ascii="宋体" w:hAnsi="宋体" w:eastAsia="宋体" w:cs="宋体"/>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9">
    <w:nsid w:val="637F55F8"/>
    <w:multiLevelType w:val="multilevel"/>
    <w:tmpl w:val="637F55F8"/>
    <w:lvl w:ilvl="0" w:tentative="0">
      <w:start w:val="1"/>
      <w:numFmt w:val="chineseCountingThousand"/>
      <w:lvlText w:val="(%1)"/>
      <w:lvlJc w:val="left"/>
      <w:pPr>
        <w:ind w:left="420" w:hanging="420"/>
      </w:pPr>
    </w:lvl>
    <w:lvl w:ilvl="1" w:tentative="0">
      <w:start w:val="1"/>
      <w:numFmt w:val="chineseCountingThousand"/>
      <w:lvlText w:val="(%2)"/>
      <w:lvlJc w:val="left"/>
      <w:pPr>
        <w:ind w:left="561"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7CC4263"/>
    <w:multiLevelType w:val="multilevel"/>
    <w:tmpl w:val="67CC426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2E4474"/>
    <w:multiLevelType w:val="multilevel"/>
    <w:tmpl w:val="692E4474"/>
    <w:lvl w:ilvl="0" w:tentative="0">
      <w:start w:val="1"/>
      <w:numFmt w:val="japaneseCounting"/>
      <w:lvlText w:val="(%1)"/>
      <w:lvlJc w:val="left"/>
      <w:pPr>
        <w:ind w:left="622" w:hanging="48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2">
    <w:nsid w:val="75BF6D8C"/>
    <w:multiLevelType w:val="multilevel"/>
    <w:tmpl w:val="75BF6D8C"/>
    <w:lvl w:ilvl="0" w:tentative="0">
      <w:start w:val="1"/>
      <w:numFmt w:val="japaneseCounting"/>
      <w:lvlText w:val="(%1)"/>
      <w:lvlJc w:val="left"/>
      <w:pPr>
        <w:ind w:left="561" w:hanging="420"/>
      </w:pPr>
      <w:rPr>
        <w:rFonts w:hint="default"/>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13">
    <w:nsid w:val="78E657EE"/>
    <w:multiLevelType w:val="multilevel"/>
    <w:tmpl w:val="78E657EE"/>
    <w:lvl w:ilvl="0" w:tentative="0">
      <w:start w:val="1"/>
      <w:numFmt w:val="decimal"/>
      <w:pStyle w:val="43"/>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BA65328"/>
    <w:multiLevelType w:val="multilevel"/>
    <w:tmpl w:val="7BA6532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3"/>
  </w:num>
  <w:num w:numId="3">
    <w:abstractNumId w:val="0"/>
  </w:num>
  <w:num w:numId="4">
    <w:abstractNumId w:val="2"/>
  </w:num>
  <w:num w:numId="5">
    <w:abstractNumId w:val="4"/>
  </w:num>
  <w:num w:numId="6">
    <w:abstractNumId w:val="12"/>
  </w:num>
  <w:num w:numId="7">
    <w:abstractNumId w:val="3"/>
  </w:num>
  <w:num w:numId="8">
    <w:abstractNumId w:val="6"/>
  </w:num>
  <w:num w:numId="9">
    <w:abstractNumId w:val="1"/>
  </w:num>
  <w:num w:numId="10">
    <w:abstractNumId w:val="7"/>
  </w:num>
  <w:num w:numId="11">
    <w:abstractNumId w:val="5"/>
  </w:num>
  <w:num w:numId="12">
    <w:abstractNumId w:val="9"/>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2"/>
  <w:drawingGridVerticalSpacing w:val="16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N2IzNDhhMjRlZWVkN2Y4YzY2NGE4ODA4OTY4MjQifQ=="/>
  </w:docVars>
  <w:rsids>
    <w:rsidRoot w:val="00172A27"/>
    <w:rsid w:val="00000881"/>
    <w:rsid w:val="00000B61"/>
    <w:rsid w:val="000012EC"/>
    <w:rsid w:val="00001A53"/>
    <w:rsid w:val="00002906"/>
    <w:rsid w:val="00006223"/>
    <w:rsid w:val="000122FA"/>
    <w:rsid w:val="00012668"/>
    <w:rsid w:val="00014C3F"/>
    <w:rsid w:val="000172DA"/>
    <w:rsid w:val="00022804"/>
    <w:rsid w:val="00022BD6"/>
    <w:rsid w:val="000238C1"/>
    <w:rsid w:val="00024173"/>
    <w:rsid w:val="00025AB1"/>
    <w:rsid w:val="00026F82"/>
    <w:rsid w:val="00030F3C"/>
    <w:rsid w:val="000323E1"/>
    <w:rsid w:val="00034883"/>
    <w:rsid w:val="000378F9"/>
    <w:rsid w:val="000404A3"/>
    <w:rsid w:val="00050ADF"/>
    <w:rsid w:val="00053795"/>
    <w:rsid w:val="00056E92"/>
    <w:rsid w:val="0006178B"/>
    <w:rsid w:val="00061AEA"/>
    <w:rsid w:val="00064061"/>
    <w:rsid w:val="00067F1B"/>
    <w:rsid w:val="00072CED"/>
    <w:rsid w:val="00074AD1"/>
    <w:rsid w:val="00076C91"/>
    <w:rsid w:val="00076CC5"/>
    <w:rsid w:val="00084AB6"/>
    <w:rsid w:val="000879CE"/>
    <w:rsid w:val="000903DF"/>
    <w:rsid w:val="000923A9"/>
    <w:rsid w:val="000946BA"/>
    <w:rsid w:val="00096EC3"/>
    <w:rsid w:val="000A0C29"/>
    <w:rsid w:val="000A2DCA"/>
    <w:rsid w:val="000A38CB"/>
    <w:rsid w:val="000A3C76"/>
    <w:rsid w:val="000A4932"/>
    <w:rsid w:val="000A5159"/>
    <w:rsid w:val="000A6221"/>
    <w:rsid w:val="000A7D2E"/>
    <w:rsid w:val="000B0E4D"/>
    <w:rsid w:val="000B36D0"/>
    <w:rsid w:val="000B3C37"/>
    <w:rsid w:val="000B4655"/>
    <w:rsid w:val="000B4A8D"/>
    <w:rsid w:val="000B5105"/>
    <w:rsid w:val="000B6F8D"/>
    <w:rsid w:val="000C0D6D"/>
    <w:rsid w:val="000C1119"/>
    <w:rsid w:val="000C6114"/>
    <w:rsid w:val="000D2E8D"/>
    <w:rsid w:val="000E0CE1"/>
    <w:rsid w:val="000F4C61"/>
    <w:rsid w:val="00104E43"/>
    <w:rsid w:val="00107DD7"/>
    <w:rsid w:val="00107FB7"/>
    <w:rsid w:val="00115EE7"/>
    <w:rsid w:val="00116FD9"/>
    <w:rsid w:val="001179DF"/>
    <w:rsid w:val="001216D1"/>
    <w:rsid w:val="001225AA"/>
    <w:rsid w:val="00126801"/>
    <w:rsid w:val="00126FB2"/>
    <w:rsid w:val="001271FF"/>
    <w:rsid w:val="00130DB9"/>
    <w:rsid w:val="001322BE"/>
    <w:rsid w:val="00137E1E"/>
    <w:rsid w:val="00141287"/>
    <w:rsid w:val="001426A8"/>
    <w:rsid w:val="00146FC3"/>
    <w:rsid w:val="00150A3D"/>
    <w:rsid w:val="001527B8"/>
    <w:rsid w:val="00152DE3"/>
    <w:rsid w:val="00154708"/>
    <w:rsid w:val="00156E9B"/>
    <w:rsid w:val="00157D44"/>
    <w:rsid w:val="00161405"/>
    <w:rsid w:val="001617CB"/>
    <w:rsid w:val="00166A1C"/>
    <w:rsid w:val="00172A27"/>
    <w:rsid w:val="00172B6C"/>
    <w:rsid w:val="001742B7"/>
    <w:rsid w:val="0017461D"/>
    <w:rsid w:val="00180BE4"/>
    <w:rsid w:val="00182B87"/>
    <w:rsid w:val="001918E7"/>
    <w:rsid w:val="00193AE6"/>
    <w:rsid w:val="00194D58"/>
    <w:rsid w:val="00196BBB"/>
    <w:rsid w:val="001A2053"/>
    <w:rsid w:val="001A789A"/>
    <w:rsid w:val="001B03CC"/>
    <w:rsid w:val="001B08F9"/>
    <w:rsid w:val="001B380E"/>
    <w:rsid w:val="001B7AD1"/>
    <w:rsid w:val="001C3B0C"/>
    <w:rsid w:val="001C4AB4"/>
    <w:rsid w:val="001E40D6"/>
    <w:rsid w:val="001E412C"/>
    <w:rsid w:val="001E568C"/>
    <w:rsid w:val="001E7ED0"/>
    <w:rsid w:val="002002D5"/>
    <w:rsid w:val="0020603C"/>
    <w:rsid w:val="0020668A"/>
    <w:rsid w:val="00207374"/>
    <w:rsid w:val="00213A18"/>
    <w:rsid w:val="00216B57"/>
    <w:rsid w:val="002204D8"/>
    <w:rsid w:val="00223C68"/>
    <w:rsid w:val="00225415"/>
    <w:rsid w:val="00227FC1"/>
    <w:rsid w:val="002303D3"/>
    <w:rsid w:val="00234054"/>
    <w:rsid w:val="00237C21"/>
    <w:rsid w:val="00243EBA"/>
    <w:rsid w:val="002449F1"/>
    <w:rsid w:val="0024599C"/>
    <w:rsid w:val="00245AEE"/>
    <w:rsid w:val="002470D2"/>
    <w:rsid w:val="00250D01"/>
    <w:rsid w:val="002633F6"/>
    <w:rsid w:val="002635A3"/>
    <w:rsid w:val="00264CC8"/>
    <w:rsid w:val="00265547"/>
    <w:rsid w:val="0026746C"/>
    <w:rsid w:val="00271F0A"/>
    <w:rsid w:val="00272FD0"/>
    <w:rsid w:val="00273F06"/>
    <w:rsid w:val="00275A53"/>
    <w:rsid w:val="0027789D"/>
    <w:rsid w:val="002809DD"/>
    <w:rsid w:val="00291EFB"/>
    <w:rsid w:val="002943FE"/>
    <w:rsid w:val="00296CBF"/>
    <w:rsid w:val="002A1CF1"/>
    <w:rsid w:val="002A34FF"/>
    <w:rsid w:val="002A3B96"/>
    <w:rsid w:val="002A5696"/>
    <w:rsid w:val="002B08E0"/>
    <w:rsid w:val="002B0CE1"/>
    <w:rsid w:val="002B1A89"/>
    <w:rsid w:val="002B6BE6"/>
    <w:rsid w:val="002C20D4"/>
    <w:rsid w:val="002C380B"/>
    <w:rsid w:val="002C4B38"/>
    <w:rsid w:val="002C6654"/>
    <w:rsid w:val="002C79F4"/>
    <w:rsid w:val="002D2AB9"/>
    <w:rsid w:val="002D31FE"/>
    <w:rsid w:val="002D37DC"/>
    <w:rsid w:val="002D7A35"/>
    <w:rsid w:val="002D7E1F"/>
    <w:rsid w:val="002E2F14"/>
    <w:rsid w:val="002E4716"/>
    <w:rsid w:val="002E6D39"/>
    <w:rsid w:val="002F02C9"/>
    <w:rsid w:val="002F0A12"/>
    <w:rsid w:val="002F1E8C"/>
    <w:rsid w:val="002F1F92"/>
    <w:rsid w:val="002F6A39"/>
    <w:rsid w:val="00301BAD"/>
    <w:rsid w:val="00301C31"/>
    <w:rsid w:val="00301DA4"/>
    <w:rsid w:val="00316C5E"/>
    <w:rsid w:val="003233A5"/>
    <w:rsid w:val="0032583D"/>
    <w:rsid w:val="00327B93"/>
    <w:rsid w:val="0033106C"/>
    <w:rsid w:val="00335CD8"/>
    <w:rsid w:val="0034526F"/>
    <w:rsid w:val="003478F5"/>
    <w:rsid w:val="003517E8"/>
    <w:rsid w:val="0035438C"/>
    <w:rsid w:val="003546CA"/>
    <w:rsid w:val="0035747F"/>
    <w:rsid w:val="00361A16"/>
    <w:rsid w:val="00365A42"/>
    <w:rsid w:val="003702F8"/>
    <w:rsid w:val="003726BF"/>
    <w:rsid w:val="00375B0F"/>
    <w:rsid w:val="00376595"/>
    <w:rsid w:val="00380F79"/>
    <w:rsid w:val="003846C4"/>
    <w:rsid w:val="003871A2"/>
    <w:rsid w:val="003911DC"/>
    <w:rsid w:val="003932EE"/>
    <w:rsid w:val="003979D8"/>
    <w:rsid w:val="003A0C51"/>
    <w:rsid w:val="003A7AA1"/>
    <w:rsid w:val="003B1679"/>
    <w:rsid w:val="003B6970"/>
    <w:rsid w:val="003B738A"/>
    <w:rsid w:val="003C39E8"/>
    <w:rsid w:val="003C7FC8"/>
    <w:rsid w:val="003D22F0"/>
    <w:rsid w:val="003D7D5C"/>
    <w:rsid w:val="003D7E3C"/>
    <w:rsid w:val="003E2E82"/>
    <w:rsid w:val="003E46B2"/>
    <w:rsid w:val="003E62FF"/>
    <w:rsid w:val="003F2874"/>
    <w:rsid w:val="003F379A"/>
    <w:rsid w:val="00403E01"/>
    <w:rsid w:val="00404F6D"/>
    <w:rsid w:val="00410A46"/>
    <w:rsid w:val="00412933"/>
    <w:rsid w:val="0041444F"/>
    <w:rsid w:val="00414B8B"/>
    <w:rsid w:val="00416A54"/>
    <w:rsid w:val="00420173"/>
    <w:rsid w:val="00422425"/>
    <w:rsid w:val="00423E7B"/>
    <w:rsid w:val="004331C2"/>
    <w:rsid w:val="0044283E"/>
    <w:rsid w:val="00446B60"/>
    <w:rsid w:val="00451487"/>
    <w:rsid w:val="00454624"/>
    <w:rsid w:val="00455D50"/>
    <w:rsid w:val="0045724F"/>
    <w:rsid w:val="00462CA6"/>
    <w:rsid w:val="0046344C"/>
    <w:rsid w:val="00477122"/>
    <w:rsid w:val="004777FB"/>
    <w:rsid w:val="004843CC"/>
    <w:rsid w:val="004848A0"/>
    <w:rsid w:val="00484BAE"/>
    <w:rsid w:val="00484C56"/>
    <w:rsid w:val="00484DC3"/>
    <w:rsid w:val="00491F2B"/>
    <w:rsid w:val="004931A8"/>
    <w:rsid w:val="004A007E"/>
    <w:rsid w:val="004A7333"/>
    <w:rsid w:val="004B6C33"/>
    <w:rsid w:val="004B74DE"/>
    <w:rsid w:val="004B7946"/>
    <w:rsid w:val="004D27F7"/>
    <w:rsid w:val="004D36A9"/>
    <w:rsid w:val="004D3F70"/>
    <w:rsid w:val="004E754F"/>
    <w:rsid w:val="004E7787"/>
    <w:rsid w:val="004F1134"/>
    <w:rsid w:val="004F178A"/>
    <w:rsid w:val="004F1AB3"/>
    <w:rsid w:val="004F1ED1"/>
    <w:rsid w:val="004F2935"/>
    <w:rsid w:val="00511011"/>
    <w:rsid w:val="005119D5"/>
    <w:rsid w:val="00514576"/>
    <w:rsid w:val="00515007"/>
    <w:rsid w:val="005201D7"/>
    <w:rsid w:val="00523643"/>
    <w:rsid w:val="00523732"/>
    <w:rsid w:val="00530AF5"/>
    <w:rsid w:val="0053224C"/>
    <w:rsid w:val="00536D42"/>
    <w:rsid w:val="005449E8"/>
    <w:rsid w:val="00545510"/>
    <w:rsid w:val="00552AF8"/>
    <w:rsid w:val="005557FE"/>
    <w:rsid w:val="0056561A"/>
    <w:rsid w:val="00566C1D"/>
    <w:rsid w:val="00567BA7"/>
    <w:rsid w:val="00572237"/>
    <w:rsid w:val="005759E3"/>
    <w:rsid w:val="005777B0"/>
    <w:rsid w:val="00582ACE"/>
    <w:rsid w:val="0058338C"/>
    <w:rsid w:val="005860AD"/>
    <w:rsid w:val="00594756"/>
    <w:rsid w:val="005A24EE"/>
    <w:rsid w:val="005A38AC"/>
    <w:rsid w:val="005A4A3E"/>
    <w:rsid w:val="005A4BAB"/>
    <w:rsid w:val="005B2049"/>
    <w:rsid w:val="005B2552"/>
    <w:rsid w:val="005B461A"/>
    <w:rsid w:val="005C0C39"/>
    <w:rsid w:val="005C49D3"/>
    <w:rsid w:val="005C590D"/>
    <w:rsid w:val="005D796D"/>
    <w:rsid w:val="005E0209"/>
    <w:rsid w:val="005E0338"/>
    <w:rsid w:val="005E4839"/>
    <w:rsid w:val="005F5879"/>
    <w:rsid w:val="005F689B"/>
    <w:rsid w:val="005F6BC9"/>
    <w:rsid w:val="006017A2"/>
    <w:rsid w:val="0061260C"/>
    <w:rsid w:val="0061377F"/>
    <w:rsid w:val="0061452B"/>
    <w:rsid w:val="00617B6B"/>
    <w:rsid w:val="00625D55"/>
    <w:rsid w:val="00631E89"/>
    <w:rsid w:val="0063626F"/>
    <w:rsid w:val="0063635E"/>
    <w:rsid w:val="006400D7"/>
    <w:rsid w:val="00643D26"/>
    <w:rsid w:val="00651469"/>
    <w:rsid w:val="00654F02"/>
    <w:rsid w:val="006571FA"/>
    <w:rsid w:val="0065767B"/>
    <w:rsid w:val="00662311"/>
    <w:rsid w:val="00667ED4"/>
    <w:rsid w:val="00673EBA"/>
    <w:rsid w:val="00674F9F"/>
    <w:rsid w:val="00675086"/>
    <w:rsid w:val="006771A0"/>
    <w:rsid w:val="00682495"/>
    <w:rsid w:val="00682E01"/>
    <w:rsid w:val="0068331C"/>
    <w:rsid w:val="00690E5C"/>
    <w:rsid w:val="006A37B1"/>
    <w:rsid w:val="006B346F"/>
    <w:rsid w:val="006B6739"/>
    <w:rsid w:val="006B6E19"/>
    <w:rsid w:val="006C48D0"/>
    <w:rsid w:val="006C5EFA"/>
    <w:rsid w:val="006D1C65"/>
    <w:rsid w:val="006D3A99"/>
    <w:rsid w:val="006D5B78"/>
    <w:rsid w:val="006E1787"/>
    <w:rsid w:val="006E47F7"/>
    <w:rsid w:val="006E4FC8"/>
    <w:rsid w:val="006E61D8"/>
    <w:rsid w:val="006F1218"/>
    <w:rsid w:val="006F20C2"/>
    <w:rsid w:val="00700306"/>
    <w:rsid w:val="00703C02"/>
    <w:rsid w:val="007139CE"/>
    <w:rsid w:val="007209A2"/>
    <w:rsid w:val="00724436"/>
    <w:rsid w:val="007246B9"/>
    <w:rsid w:val="00724BA1"/>
    <w:rsid w:val="007314DA"/>
    <w:rsid w:val="0073588D"/>
    <w:rsid w:val="007400BC"/>
    <w:rsid w:val="00740F29"/>
    <w:rsid w:val="007472C4"/>
    <w:rsid w:val="00754130"/>
    <w:rsid w:val="00761363"/>
    <w:rsid w:val="00764C31"/>
    <w:rsid w:val="0076791D"/>
    <w:rsid w:val="00776D4A"/>
    <w:rsid w:val="00777D12"/>
    <w:rsid w:val="00782358"/>
    <w:rsid w:val="007874C0"/>
    <w:rsid w:val="0079021D"/>
    <w:rsid w:val="00792C04"/>
    <w:rsid w:val="00796441"/>
    <w:rsid w:val="007A207C"/>
    <w:rsid w:val="007B4979"/>
    <w:rsid w:val="007B53CB"/>
    <w:rsid w:val="007B5DAF"/>
    <w:rsid w:val="007C0DDA"/>
    <w:rsid w:val="007C4B0D"/>
    <w:rsid w:val="007C69BA"/>
    <w:rsid w:val="007C6EBF"/>
    <w:rsid w:val="007D4887"/>
    <w:rsid w:val="007D6497"/>
    <w:rsid w:val="007E159E"/>
    <w:rsid w:val="007E5214"/>
    <w:rsid w:val="007E7890"/>
    <w:rsid w:val="007F4156"/>
    <w:rsid w:val="007F4C00"/>
    <w:rsid w:val="007F4F06"/>
    <w:rsid w:val="007F5856"/>
    <w:rsid w:val="007F7AD5"/>
    <w:rsid w:val="007F7D12"/>
    <w:rsid w:val="00801134"/>
    <w:rsid w:val="00806163"/>
    <w:rsid w:val="00806239"/>
    <w:rsid w:val="00806D5C"/>
    <w:rsid w:val="008116B2"/>
    <w:rsid w:val="00811E59"/>
    <w:rsid w:val="00812F13"/>
    <w:rsid w:val="008142D4"/>
    <w:rsid w:val="008243CF"/>
    <w:rsid w:val="00825B29"/>
    <w:rsid w:val="00835C60"/>
    <w:rsid w:val="008416D6"/>
    <w:rsid w:val="00851DC2"/>
    <w:rsid w:val="00871EF9"/>
    <w:rsid w:val="00875992"/>
    <w:rsid w:val="008766AD"/>
    <w:rsid w:val="0088131A"/>
    <w:rsid w:val="0088145F"/>
    <w:rsid w:val="00882EF0"/>
    <w:rsid w:val="008831EA"/>
    <w:rsid w:val="0088492A"/>
    <w:rsid w:val="0088745C"/>
    <w:rsid w:val="00891B00"/>
    <w:rsid w:val="0089595E"/>
    <w:rsid w:val="00897557"/>
    <w:rsid w:val="008A0BB0"/>
    <w:rsid w:val="008B092A"/>
    <w:rsid w:val="008B4097"/>
    <w:rsid w:val="008B4719"/>
    <w:rsid w:val="008C57F8"/>
    <w:rsid w:val="008D1002"/>
    <w:rsid w:val="008D13ED"/>
    <w:rsid w:val="008D31E4"/>
    <w:rsid w:val="008D42F6"/>
    <w:rsid w:val="008E0018"/>
    <w:rsid w:val="008E33B5"/>
    <w:rsid w:val="008E769F"/>
    <w:rsid w:val="009002A3"/>
    <w:rsid w:val="00900ECF"/>
    <w:rsid w:val="00901EF5"/>
    <w:rsid w:val="0090359B"/>
    <w:rsid w:val="00904185"/>
    <w:rsid w:val="0091149E"/>
    <w:rsid w:val="00912CDF"/>
    <w:rsid w:val="00912DAF"/>
    <w:rsid w:val="00914B07"/>
    <w:rsid w:val="00915B6A"/>
    <w:rsid w:val="00922686"/>
    <w:rsid w:val="00927B17"/>
    <w:rsid w:val="00931C61"/>
    <w:rsid w:val="00931D7C"/>
    <w:rsid w:val="0093521B"/>
    <w:rsid w:val="00935D3C"/>
    <w:rsid w:val="00943B07"/>
    <w:rsid w:val="00950970"/>
    <w:rsid w:val="00953DEE"/>
    <w:rsid w:val="00962362"/>
    <w:rsid w:val="009659C0"/>
    <w:rsid w:val="00971AD4"/>
    <w:rsid w:val="00973DC5"/>
    <w:rsid w:val="00976472"/>
    <w:rsid w:val="009772CB"/>
    <w:rsid w:val="0098286A"/>
    <w:rsid w:val="00986F3F"/>
    <w:rsid w:val="009953C3"/>
    <w:rsid w:val="00995678"/>
    <w:rsid w:val="009A028C"/>
    <w:rsid w:val="009A2BDB"/>
    <w:rsid w:val="009A74A8"/>
    <w:rsid w:val="009A77D2"/>
    <w:rsid w:val="009B6022"/>
    <w:rsid w:val="009C2E77"/>
    <w:rsid w:val="009C458C"/>
    <w:rsid w:val="009C499D"/>
    <w:rsid w:val="009E3493"/>
    <w:rsid w:val="009E440D"/>
    <w:rsid w:val="009E61A1"/>
    <w:rsid w:val="009F1F9D"/>
    <w:rsid w:val="00A019C7"/>
    <w:rsid w:val="00A01CFD"/>
    <w:rsid w:val="00A02AAE"/>
    <w:rsid w:val="00A03899"/>
    <w:rsid w:val="00A04227"/>
    <w:rsid w:val="00A2083E"/>
    <w:rsid w:val="00A23943"/>
    <w:rsid w:val="00A30CE6"/>
    <w:rsid w:val="00A330AF"/>
    <w:rsid w:val="00A37D96"/>
    <w:rsid w:val="00A4372A"/>
    <w:rsid w:val="00A50CC3"/>
    <w:rsid w:val="00A519DC"/>
    <w:rsid w:val="00A52FAC"/>
    <w:rsid w:val="00A53BCC"/>
    <w:rsid w:val="00A57C01"/>
    <w:rsid w:val="00A63C26"/>
    <w:rsid w:val="00A670AA"/>
    <w:rsid w:val="00A8225A"/>
    <w:rsid w:val="00A90CB7"/>
    <w:rsid w:val="00A93188"/>
    <w:rsid w:val="00A94020"/>
    <w:rsid w:val="00A97F92"/>
    <w:rsid w:val="00AA31CD"/>
    <w:rsid w:val="00AA372A"/>
    <w:rsid w:val="00AB33F1"/>
    <w:rsid w:val="00AB5550"/>
    <w:rsid w:val="00AB5DFB"/>
    <w:rsid w:val="00AB6741"/>
    <w:rsid w:val="00AC17A1"/>
    <w:rsid w:val="00AC4084"/>
    <w:rsid w:val="00AC4A5B"/>
    <w:rsid w:val="00AC702A"/>
    <w:rsid w:val="00AC7AC0"/>
    <w:rsid w:val="00AD29B9"/>
    <w:rsid w:val="00AD3698"/>
    <w:rsid w:val="00AD39C3"/>
    <w:rsid w:val="00AD552E"/>
    <w:rsid w:val="00AD5710"/>
    <w:rsid w:val="00AD74BC"/>
    <w:rsid w:val="00AE0DB8"/>
    <w:rsid w:val="00AE210C"/>
    <w:rsid w:val="00AE2B27"/>
    <w:rsid w:val="00AE4754"/>
    <w:rsid w:val="00AE5681"/>
    <w:rsid w:val="00B00832"/>
    <w:rsid w:val="00B009A3"/>
    <w:rsid w:val="00B00B01"/>
    <w:rsid w:val="00B1418B"/>
    <w:rsid w:val="00B142AE"/>
    <w:rsid w:val="00B14901"/>
    <w:rsid w:val="00B162E6"/>
    <w:rsid w:val="00B17CF2"/>
    <w:rsid w:val="00B227DD"/>
    <w:rsid w:val="00B26CBE"/>
    <w:rsid w:val="00B310CA"/>
    <w:rsid w:val="00B318F4"/>
    <w:rsid w:val="00B35247"/>
    <w:rsid w:val="00B36FB6"/>
    <w:rsid w:val="00B41DBD"/>
    <w:rsid w:val="00B461FF"/>
    <w:rsid w:val="00B50BDE"/>
    <w:rsid w:val="00B5157A"/>
    <w:rsid w:val="00B51DB3"/>
    <w:rsid w:val="00B54FAE"/>
    <w:rsid w:val="00B5563C"/>
    <w:rsid w:val="00B60167"/>
    <w:rsid w:val="00B62B69"/>
    <w:rsid w:val="00B64771"/>
    <w:rsid w:val="00B64AB9"/>
    <w:rsid w:val="00B71AB0"/>
    <w:rsid w:val="00B72341"/>
    <w:rsid w:val="00B73F57"/>
    <w:rsid w:val="00B741B0"/>
    <w:rsid w:val="00B74A7B"/>
    <w:rsid w:val="00B74BCA"/>
    <w:rsid w:val="00B7545E"/>
    <w:rsid w:val="00B75B08"/>
    <w:rsid w:val="00B826A0"/>
    <w:rsid w:val="00B87462"/>
    <w:rsid w:val="00B87578"/>
    <w:rsid w:val="00B92E83"/>
    <w:rsid w:val="00B93163"/>
    <w:rsid w:val="00B9569F"/>
    <w:rsid w:val="00B95DEC"/>
    <w:rsid w:val="00BA2D8E"/>
    <w:rsid w:val="00BA3616"/>
    <w:rsid w:val="00BA5A4E"/>
    <w:rsid w:val="00BB0483"/>
    <w:rsid w:val="00BB1258"/>
    <w:rsid w:val="00BB5DAF"/>
    <w:rsid w:val="00BB77DD"/>
    <w:rsid w:val="00BC4A2E"/>
    <w:rsid w:val="00BC51CA"/>
    <w:rsid w:val="00BC57CE"/>
    <w:rsid w:val="00BC649D"/>
    <w:rsid w:val="00BD1175"/>
    <w:rsid w:val="00BD56D5"/>
    <w:rsid w:val="00BF06AE"/>
    <w:rsid w:val="00BF0E3A"/>
    <w:rsid w:val="00BF22C7"/>
    <w:rsid w:val="00BF2D54"/>
    <w:rsid w:val="00BF302D"/>
    <w:rsid w:val="00C00961"/>
    <w:rsid w:val="00C0342A"/>
    <w:rsid w:val="00C04E48"/>
    <w:rsid w:val="00C06D25"/>
    <w:rsid w:val="00C1299F"/>
    <w:rsid w:val="00C13CEC"/>
    <w:rsid w:val="00C14F16"/>
    <w:rsid w:val="00C154C2"/>
    <w:rsid w:val="00C2292B"/>
    <w:rsid w:val="00C22D2B"/>
    <w:rsid w:val="00C22D51"/>
    <w:rsid w:val="00C40005"/>
    <w:rsid w:val="00C40B3E"/>
    <w:rsid w:val="00C4294F"/>
    <w:rsid w:val="00C42AE7"/>
    <w:rsid w:val="00C432F0"/>
    <w:rsid w:val="00C445A2"/>
    <w:rsid w:val="00C4620E"/>
    <w:rsid w:val="00C506AD"/>
    <w:rsid w:val="00C53E53"/>
    <w:rsid w:val="00C55C06"/>
    <w:rsid w:val="00C57508"/>
    <w:rsid w:val="00C60DF0"/>
    <w:rsid w:val="00C613C2"/>
    <w:rsid w:val="00C62189"/>
    <w:rsid w:val="00C637E4"/>
    <w:rsid w:val="00C74822"/>
    <w:rsid w:val="00C75087"/>
    <w:rsid w:val="00C7567B"/>
    <w:rsid w:val="00C75F9B"/>
    <w:rsid w:val="00C83A25"/>
    <w:rsid w:val="00C846AB"/>
    <w:rsid w:val="00C86AF8"/>
    <w:rsid w:val="00C90840"/>
    <w:rsid w:val="00C93159"/>
    <w:rsid w:val="00C97555"/>
    <w:rsid w:val="00CA33D6"/>
    <w:rsid w:val="00CA431F"/>
    <w:rsid w:val="00CA4C98"/>
    <w:rsid w:val="00CB1EE0"/>
    <w:rsid w:val="00CB4B9B"/>
    <w:rsid w:val="00CC4880"/>
    <w:rsid w:val="00CE01AF"/>
    <w:rsid w:val="00CE3EA1"/>
    <w:rsid w:val="00CE6565"/>
    <w:rsid w:val="00CE788A"/>
    <w:rsid w:val="00CE7926"/>
    <w:rsid w:val="00CE7E45"/>
    <w:rsid w:val="00CF1953"/>
    <w:rsid w:val="00CF2D17"/>
    <w:rsid w:val="00CF65CF"/>
    <w:rsid w:val="00CF7000"/>
    <w:rsid w:val="00D01759"/>
    <w:rsid w:val="00D0183D"/>
    <w:rsid w:val="00D02F30"/>
    <w:rsid w:val="00D051E6"/>
    <w:rsid w:val="00D1191C"/>
    <w:rsid w:val="00D14E17"/>
    <w:rsid w:val="00D17957"/>
    <w:rsid w:val="00D208A0"/>
    <w:rsid w:val="00D26895"/>
    <w:rsid w:val="00D27BDB"/>
    <w:rsid w:val="00D36B99"/>
    <w:rsid w:val="00D37008"/>
    <w:rsid w:val="00D3719D"/>
    <w:rsid w:val="00D37C4F"/>
    <w:rsid w:val="00D41114"/>
    <w:rsid w:val="00D4468E"/>
    <w:rsid w:val="00D52FA3"/>
    <w:rsid w:val="00D5721D"/>
    <w:rsid w:val="00D57226"/>
    <w:rsid w:val="00D5785A"/>
    <w:rsid w:val="00D66EFA"/>
    <w:rsid w:val="00D83E81"/>
    <w:rsid w:val="00D85F1F"/>
    <w:rsid w:val="00D86163"/>
    <w:rsid w:val="00D87EC1"/>
    <w:rsid w:val="00D90DAE"/>
    <w:rsid w:val="00D92065"/>
    <w:rsid w:val="00D93DE1"/>
    <w:rsid w:val="00D94EDA"/>
    <w:rsid w:val="00DA5ED8"/>
    <w:rsid w:val="00DB1636"/>
    <w:rsid w:val="00DB1BDF"/>
    <w:rsid w:val="00DB4B84"/>
    <w:rsid w:val="00DB6C11"/>
    <w:rsid w:val="00DC001E"/>
    <w:rsid w:val="00DC22F5"/>
    <w:rsid w:val="00DC4C50"/>
    <w:rsid w:val="00DC7395"/>
    <w:rsid w:val="00DD0A56"/>
    <w:rsid w:val="00DD1094"/>
    <w:rsid w:val="00DD4DE8"/>
    <w:rsid w:val="00DD6CFA"/>
    <w:rsid w:val="00DE3D3B"/>
    <w:rsid w:val="00DE601A"/>
    <w:rsid w:val="00DE6A15"/>
    <w:rsid w:val="00DF041D"/>
    <w:rsid w:val="00DF0548"/>
    <w:rsid w:val="00DF0C3B"/>
    <w:rsid w:val="00DF1E13"/>
    <w:rsid w:val="00DF2C0B"/>
    <w:rsid w:val="00DF6681"/>
    <w:rsid w:val="00E00E0A"/>
    <w:rsid w:val="00E01172"/>
    <w:rsid w:val="00E01CEE"/>
    <w:rsid w:val="00E043FC"/>
    <w:rsid w:val="00E06512"/>
    <w:rsid w:val="00E13EE3"/>
    <w:rsid w:val="00E15B0E"/>
    <w:rsid w:val="00E17C01"/>
    <w:rsid w:val="00E17FE4"/>
    <w:rsid w:val="00E24AE2"/>
    <w:rsid w:val="00E310A8"/>
    <w:rsid w:val="00E33BF9"/>
    <w:rsid w:val="00E33FDD"/>
    <w:rsid w:val="00E3630B"/>
    <w:rsid w:val="00E375F6"/>
    <w:rsid w:val="00E40888"/>
    <w:rsid w:val="00E43F9A"/>
    <w:rsid w:val="00E4635E"/>
    <w:rsid w:val="00E536F5"/>
    <w:rsid w:val="00E53C50"/>
    <w:rsid w:val="00E54171"/>
    <w:rsid w:val="00E55ED2"/>
    <w:rsid w:val="00E7483E"/>
    <w:rsid w:val="00E75172"/>
    <w:rsid w:val="00E75A72"/>
    <w:rsid w:val="00E80C6E"/>
    <w:rsid w:val="00E81134"/>
    <w:rsid w:val="00E8202B"/>
    <w:rsid w:val="00E82112"/>
    <w:rsid w:val="00E86256"/>
    <w:rsid w:val="00E867A5"/>
    <w:rsid w:val="00EA229A"/>
    <w:rsid w:val="00EA2938"/>
    <w:rsid w:val="00EA4843"/>
    <w:rsid w:val="00EA7E4A"/>
    <w:rsid w:val="00EB15B8"/>
    <w:rsid w:val="00EB5D58"/>
    <w:rsid w:val="00EB60FB"/>
    <w:rsid w:val="00EB6EF9"/>
    <w:rsid w:val="00EC0A63"/>
    <w:rsid w:val="00EC6C3C"/>
    <w:rsid w:val="00EC738A"/>
    <w:rsid w:val="00ED442E"/>
    <w:rsid w:val="00ED62BF"/>
    <w:rsid w:val="00ED7F0C"/>
    <w:rsid w:val="00EE0AF9"/>
    <w:rsid w:val="00EE6A63"/>
    <w:rsid w:val="00EF0591"/>
    <w:rsid w:val="00EF3998"/>
    <w:rsid w:val="00EF3BBA"/>
    <w:rsid w:val="00EF7CC5"/>
    <w:rsid w:val="00F015F0"/>
    <w:rsid w:val="00F02870"/>
    <w:rsid w:val="00F051DF"/>
    <w:rsid w:val="00F05CE0"/>
    <w:rsid w:val="00F063AA"/>
    <w:rsid w:val="00F11573"/>
    <w:rsid w:val="00F12A69"/>
    <w:rsid w:val="00F13D48"/>
    <w:rsid w:val="00F142F8"/>
    <w:rsid w:val="00F151EA"/>
    <w:rsid w:val="00F217EA"/>
    <w:rsid w:val="00F406F4"/>
    <w:rsid w:val="00F418A3"/>
    <w:rsid w:val="00F43D86"/>
    <w:rsid w:val="00F45F9E"/>
    <w:rsid w:val="00F47391"/>
    <w:rsid w:val="00F47A9A"/>
    <w:rsid w:val="00F51884"/>
    <w:rsid w:val="00F52C03"/>
    <w:rsid w:val="00F555B4"/>
    <w:rsid w:val="00F5716E"/>
    <w:rsid w:val="00F626D6"/>
    <w:rsid w:val="00F64CCF"/>
    <w:rsid w:val="00F722A6"/>
    <w:rsid w:val="00F75872"/>
    <w:rsid w:val="00F80BDC"/>
    <w:rsid w:val="00F86097"/>
    <w:rsid w:val="00F8657A"/>
    <w:rsid w:val="00F869E7"/>
    <w:rsid w:val="00F90793"/>
    <w:rsid w:val="00F97D1A"/>
    <w:rsid w:val="00FB3DF7"/>
    <w:rsid w:val="00FB4132"/>
    <w:rsid w:val="00FB47E7"/>
    <w:rsid w:val="00FC1E4A"/>
    <w:rsid w:val="00FD2A2E"/>
    <w:rsid w:val="00FE0EA9"/>
    <w:rsid w:val="00FE38D4"/>
    <w:rsid w:val="00FE40EE"/>
    <w:rsid w:val="00FF01EF"/>
    <w:rsid w:val="00FF024D"/>
    <w:rsid w:val="00FF4915"/>
    <w:rsid w:val="00FF5AF7"/>
    <w:rsid w:val="01A76128"/>
    <w:rsid w:val="03A41969"/>
    <w:rsid w:val="08937731"/>
    <w:rsid w:val="0C0202EB"/>
    <w:rsid w:val="0D4C0697"/>
    <w:rsid w:val="0F453198"/>
    <w:rsid w:val="12F62F84"/>
    <w:rsid w:val="154963BE"/>
    <w:rsid w:val="17936D23"/>
    <w:rsid w:val="1903447C"/>
    <w:rsid w:val="19C344C4"/>
    <w:rsid w:val="1D603DF5"/>
    <w:rsid w:val="1E466940"/>
    <w:rsid w:val="22785C25"/>
    <w:rsid w:val="24BD707F"/>
    <w:rsid w:val="25225E9C"/>
    <w:rsid w:val="27627A2C"/>
    <w:rsid w:val="2B5771A2"/>
    <w:rsid w:val="2BD87BB8"/>
    <w:rsid w:val="2C044265"/>
    <w:rsid w:val="2EBB4973"/>
    <w:rsid w:val="331C4337"/>
    <w:rsid w:val="33776DF6"/>
    <w:rsid w:val="37E7152D"/>
    <w:rsid w:val="38244CA1"/>
    <w:rsid w:val="3C9348DC"/>
    <w:rsid w:val="452F16D5"/>
    <w:rsid w:val="49606E0C"/>
    <w:rsid w:val="4B730BB0"/>
    <w:rsid w:val="4C6C7CEE"/>
    <w:rsid w:val="4E197191"/>
    <w:rsid w:val="4E5C4437"/>
    <w:rsid w:val="53CB7DC2"/>
    <w:rsid w:val="55C33C90"/>
    <w:rsid w:val="58780117"/>
    <w:rsid w:val="5CEA3C73"/>
    <w:rsid w:val="611A7953"/>
    <w:rsid w:val="642239A4"/>
    <w:rsid w:val="6F81000E"/>
    <w:rsid w:val="7040753F"/>
    <w:rsid w:val="715476A5"/>
    <w:rsid w:val="74E30EB5"/>
    <w:rsid w:val="77CD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黑体"/>
      <w:kern w:val="2"/>
      <w:sz w:val="24"/>
      <w:szCs w:val="22"/>
      <w:lang w:val="en-US" w:eastAsia="zh-CN" w:bidi="ar-SA"/>
    </w:rPr>
  </w:style>
  <w:style w:type="paragraph" w:styleId="2">
    <w:name w:val="heading 1"/>
    <w:basedOn w:val="1"/>
    <w:next w:val="1"/>
    <w:link w:val="74"/>
    <w:qFormat/>
    <w:uiPriority w:val="0"/>
    <w:pPr>
      <w:keepNext/>
      <w:keepLines/>
      <w:overflowPunct w:val="0"/>
      <w:spacing w:before="340" w:after="330" w:line="578" w:lineRule="auto"/>
      <w:ind w:left="432" w:hanging="432"/>
      <w:outlineLvl w:val="0"/>
    </w:pPr>
    <w:rPr>
      <w:rFonts w:ascii="宋体" w:hAnsi="宋体" w:eastAsia="宋体"/>
      <w:b/>
      <w:bCs/>
      <w:kern w:val="44"/>
      <w:sz w:val="44"/>
      <w:szCs w:val="44"/>
    </w:rPr>
  </w:style>
  <w:style w:type="paragraph" w:styleId="3">
    <w:name w:val="heading 2"/>
    <w:basedOn w:val="1"/>
    <w:next w:val="1"/>
    <w:link w:val="71"/>
    <w:qFormat/>
    <w:uiPriority w:val="0"/>
    <w:pPr>
      <w:keepNext/>
      <w:widowControl/>
      <w:numPr>
        <w:ilvl w:val="1"/>
        <w:numId w:val="1"/>
      </w:numPr>
      <w:overflowPunct w:val="0"/>
      <w:autoSpaceDE w:val="0"/>
      <w:autoSpaceDN w:val="0"/>
      <w:adjustRightInd w:val="0"/>
      <w:spacing w:before="332" w:beforeLines="100"/>
      <w:jc w:val="left"/>
      <w:textAlignment w:val="baseline"/>
      <w:outlineLvl w:val="1"/>
    </w:pPr>
    <w:rPr>
      <w:rFonts w:ascii="宋体" w:hAnsi="宋体" w:eastAsia="宋体"/>
      <w:b/>
      <w:bCs/>
      <w:color w:val="000000"/>
      <w:sz w:val="32"/>
      <w:szCs w:val="32"/>
    </w:rPr>
  </w:style>
  <w:style w:type="paragraph" w:styleId="4">
    <w:name w:val="heading 3"/>
    <w:basedOn w:val="1"/>
    <w:next w:val="1"/>
    <w:link w:val="76"/>
    <w:qFormat/>
    <w:uiPriority w:val="0"/>
    <w:pPr>
      <w:keepNext/>
      <w:keepLines/>
      <w:numPr>
        <w:ilvl w:val="2"/>
        <w:numId w:val="1"/>
      </w:numPr>
      <w:spacing w:before="260" w:after="156" w:afterLines="50" w:line="415" w:lineRule="auto"/>
      <w:outlineLvl w:val="2"/>
    </w:pPr>
    <w:rPr>
      <w:b/>
      <w:bCs/>
      <w:szCs w:val="32"/>
    </w:rPr>
  </w:style>
  <w:style w:type="paragraph" w:styleId="5">
    <w:name w:val="heading 4"/>
    <w:basedOn w:val="1"/>
    <w:next w:val="1"/>
    <w:link w:val="82"/>
    <w:qFormat/>
    <w:uiPriority w:val="0"/>
    <w:pPr>
      <w:widowControl/>
      <w:numPr>
        <w:ilvl w:val="3"/>
        <w:numId w:val="1"/>
      </w:numPr>
      <w:pBdr>
        <w:top w:val="dotted" w:color="333333" w:sz="8" w:space="1"/>
      </w:pBdr>
      <w:overflowPunct w:val="0"/>
      <w:autoSpaceDE w:val="0"/>
      <w:autoSpaceDN w:val="0"/>
      <w:adjustRightInd w:val="0"/>
      <w:spacing w:before="60" w:line="240" w:lineRule="auto"/>
      <w:jc w:val="left"/>
      <w:textAlignment w:val="baseline"/>
      <w:outlineLvl w:val="3"/>
    </w:pPr>
    <w:rPr>
      <w:rFonts w:ascii="微软雅黑" w:hAnsi="微软雅黑" w:eastAsia="微软雅黑" w:cs="Times New Roman"/>
      <w:i/>
      <w:color w:val="333333"/>
      <w:kern w:val="0"/>
      <w:sz w:val="22"/>
      <w:szCs w:val="28"/>
      <w:u w:val="single"/>
    </w:rPr>
  </w:style>
  <w:style w:type="paragraph" w:styleId="6">
    <w:name w:val="heading 5"/>
    <w:basedOn w:val="1"/>
    <w:next w:val="1"/>
    <w:link w:val="80"/>
    <w:qFormat/>
    <w:uiPriority w:val="0"/>
    <w:pPr>
      <w:widowControl/>
      <w:overflowPunct w:val="0"/>
      <w:autoSpaceDE w:val="0"/>
      <w:autoSpaceDN w:val="0"/>
      <w:adjustRightInd w:val="0"/>
      <w:spacing w:before="240" w:after="120" w:line="240" w:lineRule="auto"/>
      <w:ind w:left="1008" w:hanging="1008"/>
      <w:textAlignment w:val="baseline"/>
      <w:outlineLvl w:val="4"/>
    </w:pPr>
    <w:rPr>
      <w:rFonts w:ascii="Tahoma" w:hAnsi="Tahoma" w:eastAsia="宋体" w:cs="Times New Roman"/>
      <w:kern w:val="0"/>
      <w:szCs w:val="20"/>
    </w:rPr>
  </w:style>
  <w:style w:type="paragraph" w:styleId="7">
    <w:name w:val="heading 6"/>
    <w:basedOn w:val="1"/>
    <w:next w:val="1"/>
    <w:link w:val="79"/>
    <w:qFormat/>
    <w:uiPriority w:val="0"/>
    <w:pPr>
      <w:widowControl/>
      <w:overflowPunct w:val="0"/>
      <w:autoSpaceDE w:val="0"/>
      <w:autoSpaceDN w:val="0"/>
      <w:adjustRightInd w:val="0"/>
      <w:spacing w:before="240" w:after="120" w:line="240" w:lineRule="auto"/>
      <w:ind w:left="1152" w:hanging="1152"/>
      <w:textAlignment w:val="baseline"/>
      <w:outlineLvl w:val="5"/>
    </w:pPr>
    <w:rPr>
      <w:rFonts w:ascii="Tahoma" w:hAnsi="Tahoma" w:eastAsia="宋体" w:cs="Times New Roman"/>
      <w:i/>
      <w:kern w:val="0"/>
      <w:szCs w:val="20"/>
    </w:rPr>
  </w:style>
  <w:style w:type="paragraph" w:styleId="8">
    <w:name w:val="heading 7"/>
    <w:basedOn w:val="1"/>
    <w:next w:val="1"/>
    <w:link w:val="70"/>
    <w:qFormat/>
    <w:uiPriority w:val="0"/>
    <w:pPr>
      <w:ind w:left="1296" w:hanging="1296"/>
      <w:outlineLvl w:val="6"/>
    </w:pPr>
  </w:style>
  <w:style w:type="paragraph" w:styleId="9">
    <w:name w:val="heading 8"/>
    <w:basedOn w:val="1"/>
    <w:next w:val="1"/>
    <w:link w:val="69"/>
    <w:qFormat/>
    <w:uiPriority w:val="0"/>
    <w:pPr>
      <w:widowControl/>
      <w:overflowPunct w:val="0"/>
      <w:autoSpaceDE w:val="0"/>
      <w:autoSpaceDN w:val="0"/>
      <w:adjustRightInd w:val="0"/>
      <w:spacing w:before="240" w:after="120" w:line="240" w:lineRule="auto"/>
      <w:ind w:left="1440" w:hanging="1440"/>
      <w:textAlignment w:val="baseline"/>
      <w:outlineLvl w:val="7"/>
    </w:pPr>
    <w:rPr>
      <w:rFonts w:ascii="Tahoma" w:hAnsi="Tahoma" w:eastAsia="宋体" w:cs="Times New Roman"/>
      <w:i/>
      <w:kern w:val="0"/>
      <w:sz w:val="20"/>
      <w:szCs w:val="20"/>
    </w:rPr>
  </w:style>
  <w:style w:type="paragraph" w:styleId="10">
    <w:name w:val="heading 9"/>
    <w:basedOn w:val="1"/>
    <w:next w:val="1"/>
    <w:link w:val="67"/>
    <w:qFormat/>
    <w:uiPriority w:val="0"/>
    <w:pPr>
      <w:widowControl/>
      <w:overflowPunct w:val="0"/>
      <w:autoSpaceDE w:val="0"/>
      <w:autoSpaceDN w:val="0"/>
      <w:adjustRightInd w:val="0"/>
      <w:spacing w:before="240" w:after="120" w:line="240" w:lineRule="auto"/>
      <w:ind w:left="1584" w:hanging="1584"/>
      <w:textAlignment w:val="baseline"/>
      <w:outlineLvl w:val="8"/>
    </w:pPr>
    <w:rPr>
      <w:rFonts w:ascii="Tahoma" w:hAnsi="Tahoma" w:eastAsia="宋体" w:cs="Times New Roman"/>
      <w:i/>
      <w:kern w:val="0"/>
      <w:sz w:val="18"/>
      <w:szCs w:val="20"/>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pPr>
    <w:rPr>
      <w:rFonts w:eastAsia="宋体"/>
      <w:sz w:val="21"/>
    </w:rPr>
  </w:style>
  <w:style w:type="paragraph" w:styleId="12">
    <w:name w:val="Normal Indent"/>
    <w:basedOn w:val="1"/>
    <w:unhideWhenUsed/>
    <w:qFormat/>
    <w:uiPriority w:val="99"/>
    <w:pPr>
      <w:ind w:firstLine="420" w:firstLineChars="200"/>
    </w:pPr>
  </w:style>
  <w:style w:type="paragraph" w:styleId="13">
    <w:name w:val="caption"/>
    <w:basedOn w:val="1"/>
    <w:next w:val="1"/>
    <w:qFormat/>
    <w:uiPriority w:val="35"/>
    <w:pPr>
      <w:keepNext/>
      <w:widowControl/>
      <w:overflowPunct w:val="0"/>
      <w:autoSpaceDE w:val="0"/>
      <w:autoSpaceDN w:val="0"/>
      <w:adjustRightInd w:val="0"/>
      <w:spacing w:before="120" w:after="120" w:line="240" w:lineRule="auto"/>
      <w:jc w:val="center"/>
      <w:textAlignment w:val="baseline"/>
    </w:pPr>
    <w:rPr>
      <w:rFonts w:ascii="Tahoma" w:hAnsi="Tahoma" w:eastAsia="宋体" w:cs="Times New Roman"/>
      <w:kern w:val="0"/>
      <w:szCs w:val="20"/>
    </w:rPr>
  </w:style>
  <w:style w:type="paragraph" w:styleId="14">
    <w:name w:val="Document Map"/>
    <w:basedOn w:val="1"/>
    <w:semiHidden/>
    <w:qFormat/>
    <w:uiPriority w:val="0"/>
    <w:pPr>
      <w:shd w:val="clear" w:color="auto" w:fill="000080"/>
    </w:pPr>
  </w:style>
  <w:style w:type="paragraph" w:styleId="15">
    <w:name w:val="annotation text"/>
    <w:basedOn w:val="1"/>
    <w:link w:val="68"/>
    <w:unhideWhenUsed/>
    <w:qFormat/>
    <w:uiPriority w:val="99"/>
    <w:pPr>
      <w:jc w:val="left"/>
    </w:pPr>
  </w:style>
  <w:style w:type="paragraph" w:styleId="16">
    <w:name w:val="Body Text"/>
    <w:basedOn w:val="1"/>
    <w:unhideWhenUsed/>
    <w:qFormat/>
    <w:uiPriority w:val="0"/>
    <w:pPr>
      <w:spacing w:before="20" w:beforeLines="20" w:line="360" w:lineRule="exact"/>
      <w:ind w:firstLine="200" w:firstLineChars="200"/>
    </w:pPr>
  </w:style>
  <w:style w:type="paragraph" w:styleId="17">
    <w:name w:val="Body Text Indent"/>
    <w:basedOn w:val="1"/>
    <w:unhideWhenUsed/>
    <w:qFormat/>
    <w:uiPriority w:val="99"/>
    <w:pPr>
      <w:spacing w:after="120"/>
      <w:ind w:left="420" w:leftChars="200"/>
    </w:pPr>
    <w:rPr>
      <w:rFonts w:ascii="Times New Roman" w:hAnsi="Times New Roman" w:eastAsia="宋体" w:cs="Times New Roman"/>
      <w:szCs w:val="20"/>
    </w:rPr>
  </w:style>
  <w:style w:type="paragraph" w:styleId="18">
    <w:name w:val="toc 5"/>
    <w:basedOn w:val="1"/>
    <w:next w:val="1"/>
    <w:unhideWhenUsed/>
    <w:qFormat/>
    <w:uiPriority w:val="39"/>
    <w:pPr>
      <w:spacing w:line="240" w:lineRule="auto"/>
      <w:ind w:left="1680" w:leftChars="800"/>
    </w:pPr>
    <w:rPr>
      <w:rFonts w:eastAsia="宋体"/>
      <w:sz w:val="21"/>
    </w:rPr>
  </w:style>
  <w:style w:type="paragraph" w:styleId="19">
    <w:name w:val="toc 3"/>
    <w:basedOn w:val="1"/>
    <w:next w:val="1"/>
    <w:unhideWhenUsed/>
    <w:qFormat/>
    <w:uiPriority w:val="39"/>
    <w:pPr>
      <w:ind w:left="840" w:leftChars="400"/>
    </w:pPr>
  </w:style>
  <w:style w:type="paragraph" w:styleId="20">
    <w:name w:val="Plain Text"/>
    <w:basedOn w:val="1"/>
    <w:link w:val="78"/>
    <w:qFormat/>
    <w:uiPriority w:val="0"/>
    <w:pPr>
      <w:spacing w:line="240" w:lineRule="auto"/>
    </w:pPr>
    <w:rPr>
      <w:rFonts w:ascii="宋体" w:hAnsi="Courier New" w:eastAsia="宋体" w:cs="Times New Roman"/>
      <w:szCs w:val="20"/>
    </w:rPr>
  </w:style>
  <w:style w:type="paragraph" w:styleId="21">
    <w:name w:val="toc 8"/>
    <w:basedOn w:val="1"/>
    <w:next w:val="1"/>
    <w:unhideWhenUsed/>
    <w:qFormat/>
    <w:uiPriority w:val="39"/>
    <w:pPr>
      <w:spacing w:line="240" w:lineRule="auto"/>
      <w:ind w:left="2940" w:leftChars="1400"/>
    </w:pPr>
    <w:rPr>
      <w:rFonts w:eastAsia="宋体"/>
      <w:sz w:val="21"/>
    </w:rPr>
  </w:style>
  <w:style w:type="paragraph" w:styleId="22">
    <w:name w:val="Balloon Text"/>
    <w:basedOn w:val="1"/>
    <w:link w:val="81"/>
    <w:unhideWhenUsed/>
    <w:qFormat/>
    <w:uiPriority w:val="99"/>
    <w:rPr>
      <w:sz w:val="18"/>
      <w:szCs w:val="18"/>
    </w:rPr>
  </w:style>
  <w:style w:type="paragraph" w:styleId="23">
    <w:name w:val="footer"/>
    <w:basedOn w:val="1"/>
    <w:link w:val="66"/>
    <w:unhideWhenUsed/>
    <w:qFormat/>
    <w:uiPriority w:val="99"/>
    <w:pPr>
      <w:tabs>
        <w:tab w:val="center" w:pos="4153"/>
        <w:tab w:val="right" w:pos="8306"/>
      </w:tabs>
      <w:snapToGrid w:val="0"/>
      <w:spacing w:line="240" w:lineRule="auto"/>
      <w:jc w:val="left"/>
    </w:pPr>
    <w:rPr>
      <w:sz w:val="18"/>
      <w:szCs w:val="18"/>
    </w:rPr>
  </w:style>
  <w:style w:type="paragraph" w:styleId="24">
    <w:name w:val="header"/>
    <w:basedOn w:val="1"/>
    <w:link w:val="6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spacing w:line="240" w:lineRule="auto"/>
      <w:ind w:left="1260" w:leftChars="600"/>
    </w:pPr>
    <w:rPr>
      <w:rFonts w:eastAsia="宋体"/>
      <w:sz w:val="21"/>
    </w:rPr>
  </w:style>
  <w:style w:type="paragraph" w:styleId="27">
    <w:name w:val="footnote text"/>
    <w:basedOn w:val="1"/>
    <w:link w:val="83"/>
    <w:unhideWhenUsed/>
    <w:qFormat/>
    <w:uiPriority w:val="0"/>
    <w:pPr>
      <w:snapToGrid w:val="0"/>
      <w:spacing w:line="240" w:lineRule="auto"/>
      <w:jc w:val="left"/>
    </w:pPr>
    <w:rPr>
      <w:rFonts w:ascii="Times New Roman" w:hAnsi="Times New Roman" w:eastAsia="宋体" w:cs="Times New Roman"/>
      <w:sz w:val="18"/>
      <w:szCs w:val="18"/>
    </w:rPr>
  </w:style>
  <w:style w:type="paragraph" w:styleId="28">
    <w:name w:val="toc 6"/>
    <w:basedOn w:val="1"/>
    <w:next w:val="1"/>
    <w:unhideWhenUsed/>
    <w:qFormat/>
    <w:uiPriority w:val="39"/>
    <w:pPr>
      <w:spacing w:line="240" w:lineRule="auto"/>
      <w:ind w:left="2100" w:leftChars="1000"/>
    </w:pPr>
    <w:rPr>
      <w:rFonts w:eastAsia="宋体"/>
      <w:sz w:val="21"/>
    </w:r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spacing w:line="240" w:lineRule="auto"/>
      <w:ind w:left="3360" w:leftChars="1600"/>
    </w:pPr>
    <w:rPr>
      <w:rFonts w:eastAsia="宋体"/>
      <w:sz w:val="21"/>
    </w:rPr>
  </w:style>
  <w:style w:type="paragraph" w:styleId="31">
    <w:name w:val="Normal (Web)"/>
    <w:basedOn w:val="1"/>
    <w:unhideWhenUsed/>
    <w:qFormat/>
    <w:uiPriority w:val="0"/>
    <w:pPr>
      <w:spacing w:before="100" w:beforeAutospacing="1" w:after="100" w:afterAutospacing="1"/>
      <w:jc w:val="left"/>
    </w:pPr>
    <w:rPr>
      <w:rFonts w:cs="Times New Roman"/>
      <w:kern w:val="0"/>
    </w:rPr>
  </w:style>
  <w:style w:type="paragraph" w:styleId="32">
    <w:name w:val="Title"/>
    <w:basedOn w:val="1"/>
    <w:next w:val="1"/>
    <w:link w:val="85"/>
    <w:qFormat/>
    <w:uiPriority w:val="10"/>
    <w:pPr>
      <w:spacing w:before="240" w:after="60"/>
      <w:jc w:val="center"/>
      <w:outlineLvl w:val="0"/>
    </w:pPr>
    <w:rPr>
      <w:rFonts w:asciiTheme="majorHAnsi" w:hAnsiTheme="majorHAnsi" w:eastAsiaTheme="majorEastAsia" w:cstheme="majorBidi"/>
      <w:b/>
      <w:bCs/>
      <w:sz w:val="32"/>
      <w:szCs w:val="32"/>
    </w:rPr>
  </w:style>
  <w:style w:type="paragraph" w:styleId="33">
    <w:name w:val="annotation subject"/>
    <w:basedOn w:val="15"/>
    <w:next w:val="15"/>
    <w:link w:val="72"/>
    <w:unhideWhenUsed/>
    <w:qFormat/>
    <w:uiPriority w:val="99"/>
    <w:rPr>
      <w:b/>
      <w:bCs/>
    </w:rPr>
  </w:style>
  <w:style w:type="paragraph" w:styleId="34">
    <w:name w:val="Body Text First Indent"/>
    <w:basedOn w:val="16"/>
    <w:unhideWhenUsed/>
    <w:qFormat/>
    <w:uiPriority w:val="0"/>
    <w:pPr>
      <w:spacing w:before="0" w:beforeLines="0" w:after="120" w:line="240" w:lineRule="auto"/>
      <w:ind w:firstLine="420" w:firstLineChars="100"/>
    </w:pPr>
  </w:style>
  <w:style w:type="table" w:styleId="36">
    <w:name w:val="Table Elegant"/>
    <w:basedOn w:val="3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8">
    <w:name w:val="FollowedHyperlink"/>
    <w:unhideWhenUsed/>
    <w:qFormat/>
    <w:uiPriority w:val="99"/>
    <w:rPr>
      <w:color w:val="800080"/>
      <w:u w:val="single"/>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0"/>
    <w:rPr>
      <w:vertAlign w:val="superscript"/>
    </w:rPr>
  </w:style>
  <w:style w:type="paragraph" w:customStyle="1" w:styleId="42">
    <w:name w:val="列出段落2"/>
    <w:basedOn w:val="1"/>
    <w:qFormat/>
    <w:uiPriority w:val="34"/>
    <w:pPr>
      <w:ind w:firstLine="420" w:firstLineChars="200"/>
    </w:pPr>
    <w:rPr>
      <w:rFonts w:eastAsia="宋体" w:cs="Times New Roman"/>
    </w:rPr>
  </w:style>
  <w:style w:type="paragraph" w:customStyle="1" w:styleId="43">
    <w:name w:val="样式 标题 1 + 左 左侧:  0 厘米 悬挂缩进: 4.32 字符 段前: 12 磅 段后: 12 磅 行距: 固..."/>
    <w:basedOn w:val="1"/>
    <w:qFormat/>
    <w:uiPriority w:val="0"/>
    <w:pPr>
      <w:numPr>
        <w:ilvl w:val="0"/>
        <w:numId w:val="2"/>
      </w:numPr>
      <w:spacing w:line="240" w:lineRule="auto"/>
    </w:pPr>
    <w:rPr>
      <w:rFonts w:eastAsia="宋体" w:cs="Times New Roman"/>
    </w:rPr>
  </w:style>
  <w:style w:type="paragraph" w:customStyle="1" w:styleId="44">
    <w:name w:val="TOC 标题1"/>
    <w:basedOn w:val="2"/>
    <w:next w:val="1"/>
    <w:unhideWhenUsed/>
    <w:qFormat/>
    <w:uiPriority w:val="39"/>
    <w:pPr>
      <w:widowControl/>
      <w:spacing w:before="480" w:after="0" w:line="276" w:lineRule="auto"/>
      <w:ind w:left="0" w:firstLine="0"/>
      <w:jc w:val="left"/>
      <w:outlineLvl w:val="9"/>
    </w:pPr>
    <w:rPr>
      <w:rFonts w:ascii="Cambria" w:hAnsi="Cambria"/>
      <w:color w:val="365F90"/>
      <w:kern w:val="0"/>
      <w:sz w:val="28"/>
      <w:szCs w:val="28"/>
    </w:rPr>
  </w:style>
  <w:style w:type="paragraph" w:customStyle="1" w:styleId="45">
    <w:name w:val="My正文"/>
    <w:basedOn w:val="1"/>
    <w:link w:val="75"/>
    <w:qFormat/>
    <w:uiPriority w:val="0"/>
    <w:pPr>
      <w:adjustRightInd w:val="0"/>
      <w:spacing w:before="120"/>
      <w:ind w:firstLine="567"/>
    </w:pPr>
    <w:rPr>
      <w:rFonts w:ascii="Arial" w:hAnsi="Arial" w:eastAsia="宋体" w:cs="Times New Roman"/>
      <w:kern w:val="0"/>
      <w:szCs w:val="20"/>
    </w:rPr>
  </w:style>
  <w:style w:type="paragraph" w:customStyle="1" w:styleId="46">
    <w:name w:val="样式 仿宋_GB2312 行距: 1.5 倍行距"/>
    <w:basedOn w:val="1"/>
    <w:qFormat/>
    <w:uiPriority w:val="0"/>
    <w:pPr>
      <w:adjustRightInd w:val="0"/>
      <w:ind w:right="227" w:rightChars="100" w:firstLine="678" w:firstLineChars="264"/>
      <w:textAlignment w:val="baseline"/>
    </w:pPr>
    <w:rPr>
      <w:rFonts w:ascii="仿宋_GB2312" w:hAnsi="Times New Roman" w:eastAsia="仿宋_GB2312" w:cs="Times New Roman"/>
      <w:szCs w:val="24"/>
    </w:rPr>
  </w:style>
  <w:style w:type="paragraph" w:customStyle="1" w:styleId="47">
    <w:name w:val="样式3"/>
    <w:basedOn w:val="20"/>
    <w:qFormat/>
    <w:uiPriority w:val="0"/>
    <w:pPr>
      <w:spacing w:line="0" w:lineRule="atLeast"/>
      <w:outlineLvl w:val="0"/>
    </w:pPr>
    <w:rPr>
      <w:sz w:val="28"/>
    </w:rPr>
  </w:style>
  <w:style w:type="paragraph" w:customStyle="1" w:styleId="48">
    <w:name w:val="文档正文"/>
    <w:basedOn w:val="1"/>
    <w:qFormat/>
    <w:uiPriority w:val="0"/>
    <w:pPr>
      <w:ind w:firstLine="480" w:firstLineChars="200"/>
    </w:pPr>
  </w:style>
  <w:style w:type="paragraph" w:customStyle="1" w:styleId="49">
    <w:name w:val="我的正文"/>
    <w:basedOn w:val="1"/>
    <w:next w:val="12"/>
    <w:qFormat/>
    <w:uiPriority w:val="0"/>
    <w:pPr>
      <w:widowControl/>
      <w:spacing w:after="120" w:line="360" w:lineRule="exact"/>
      <w:ind w:firstLine="540"/>
      <w:jc w:val="left"/>
    </w:pPr>
    <w:rPr>
      <w:rFonts w:ascii="Times New Roman" w:hAnsi="Times New Roman" w:eastAsia="宋体" w:cs="Times New Roman"/>
      <w:kern w:val="0"/>
      <w:szCs w:val="21"/>
    </w:rPr>
  </w:style>
  <w:style w:type="paragraph" w:customStyle="1" w:styleId="50">
    <w:name w:val="List Paragraph1"/>
    <w:basedOn w:val="1"/>
    <w:link w:val="77"/>
    <w:qFormat/>
    <w:uiPriority w:val="0"/>
    <w:pPr>
      <w:ind w:firstLine="420" w:firstLineChars="200"/>
    </w:pPr>
  </w:style>
  <w:style w:type="paragraph" w:customStyle="1" w:styleId="51">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52">
    <w:name w:val="My3"/>
    <w:basedOn w:val="4"/>
    <w:qFormat/>
    <w:uiPriority w:val="0"/>
    <w:pPr>
      <w:numPr>
        <w:ilvl w:val="3"/>
        <w:numId w:val="3"/>
      </w:numPr>
      <w:spacing w:after="260" w:afterLines="0" w:line="413" w:lineRule="auto"/>
      <w:outlineLvl w:val="3"/>
    </w:pPr>
    <w:rPr>
      <w:rFonts w:ascii="Times New Roman" w:hAnsi="Times New Roman" w:eastAsia="黑体" w:cs="Times New Roman"/>
      <w:bCs w:val="0"/>
      <w:color w:val="000000"/>
      <w:sz w:val="32"/>
      <w:szCs w:val="20"/>
    </w:rPr>
  </w:style>
  <w:style w:type="paragraph" w:customStyle="1" w:styleId="53">
    <w:name w:val="NormalSimple"/>
    <w:basedOn w:val="1"/>
    <w:qFormat/>
    <w:uiPriority w:val="0"/>
    <w:pPr>
      <w:widowControl/>
      <w:overflowPunct w:val="0"/>
      <w:autoSpaceDE w:val="0"/>
      <w:autoSpaceDN w:val="0"/>
      <w:adjustRightInd w:val="0"/>
      <w:spacing w:line="240" w:lineRule="auto"/>
      <w:jc w:val="left"/>
      <w:textAlignment w:val="baseline"/>
    </w:pPr>
    <w:rPr>
      <w:rFonts w:ascii="Tahoma" w:hAnsi="Tahoma" w:eastAsia="宋体" w:cs="Times New Roman"/>
      <w:kern w:val="0"/>
      <w:szCs w:val="20"/>
    </w:rPr>
  </w:style>
  <w:style w:type="paragraph" w:customStyle="1" w:styleId="54">
    <w:name w:val="Char Char3 Char Char"/>
    <w:basedOn w:val="1"/>
    <w:qFormat/>
    <w:uiPriority w:val="0"/>
    <w:pPr>
      <w:widowControl/>
      <w:spacing w:after="160" w:line="240" w:lineRule="exact"/>
      <w:jc w:val="left"/>
    </w:pPr>
    <w:rPr>
      <w:rFonts w:ascii="Times New Roman" w:hAnsi="Times New Roman" w:eastAsia="仿宋_GB2312" w:cs="Times New Roman"/>
      <w:sz w:val="32"/>
      <w:szCs w:val="20"/>
    </w:rPr>
  </w:style>
  <w:style w:type="paragraph" w:customStyle="1" w:styleId="55">
    <w:name w:val="_Style 53"/>
    <w:semiHidden/>
    <w:qFormat/>
    <w:uiPriority w:val="99"/>
    <w:rPr>
      <w:rFonts w:ascii="Calibri" w:hAnsi="Calibri" w:eastAsia="仿宋" w:cs="黑体"/>
      <w:kern w:val="2"/>
      <w:sz w:val="24"/>
      <w:szCs w:val="22"/>
      <w:lang w:val="en-US" w:eastAsia="zh-CN" w:bidi="ar-SA"/>
    </w:rPr>
  </w:style>
  <w:style w:type="paragraph" w:customStyle="1" w:styleId="56">
    <w:name w:val="列出段落21"/>
    <w:basedOn w:val="1"/>
    <w:qFormat/>
    <w:uiPriority w:val="34"/>
    <w:pPr>
      <w:ind w:firstLine="420" w:firstLineChars="200"/>
    </w:pPr>
    <w:rPr>
      <w:rFonts w:eastAsia="宋体" w:cs="Calibri"/>
      <w:szCs w:val="21"/>
    </w:rPr>
  </w:style>
  <w:style w:type="paragraph" w:styleId="57">
    <w:name w:val="List Paragraph"/>
    <w:basedOn w:val="1"/>
    <w:qFormat/>
    <w:uiPriority w:val="34"/>
    <w:pPr>
      <w:ind w:firstLine="420" w:firstLineChars="200"/>
    </w:pPr>
  </w:style>
  <w:style w:type="paragraph" w:customStyle="1" w:styleId="58">
    <w:name w:val="My1"/>
    <w:basedOn w:val="1"/>
    <w:qFormat/>
    <w:uiPriority w:val="0"/>
    <w:pPr>
      <w:keepNext/>
      <w:keepLines/>
      <w:numPr>
        <w:ilvl w:val="1"/>
        <w:numId w:val="3"/>
      </w:numPr>
      <w:spacing w:before="340" w:after="330" w:line="576" w:lineRule="auto"/>
      <w:outlineLvl w:val="1"/>
    </w:pPr>
    <w:rPr>
      <w:rFonts w:ascii="宋体" w:hAnsi="宋体" w:eastAsia="黑体" w:cs="Times New Roman"/>
      <w:b/>
      <w:color w:val="000000"/>
      <w:kern w:val="44"/>
      <w:sz w:val="44"/>
      <w:szCs w:val="20"/>
    </w:rPr>
  </w:style>
  <w:style w:type="paragraph" w:customStyle="1" w:styleId="59">
    <w:name w:val="My2"/>
    <w:basedOn w:val="3"/>
    <w:qFormat/>
    <w:uiPriority w:val="0"/>
    <w:pPr>
      <w:keepLines/>
      <w:widowControl w:val="0"/>
      <w:numPr>
        <w:ilvl w:val="2"/>
        <w:numId w:val="3"/>
      </w:numPr>
      <w:overflowPunct/>
      <w:autoSpaceDE/>
      <w:autoSpaceDN/>
      <w:adjustRightInd/>
      <w:spacing w:before="260" w:beforeLines="0" w:after="260" w:line="413" w:lineRule="auto"/>
      <w:jc w:val="both"/>
      <w:textAlignment w:val="auto"/>
      <w:outlineLvl w:val="2"/>
    </w:pPr>
    <w:rPr>
      <w:rFonts w:ascii="Arial" w:hAnsi="Arial" w:eastAsia="黑体" w:cs="Times New Roman"/>
      <w:bCs w:val="0"/>
      <w:szCs w:val="20"/>
    </w:rPr>
  </w:style>
  <w:style w:type="paragraph" w:customStyle="1" w:styleId="60">
    <w:name w:val="4BC8582F925C44688E6963A65CE800A2"/>
    <w:qFormat/>
    <w:uiPriority w:val="0"/>
    <w:pPr>
      <w:spacing w:after="200" w:line="276" w:lineRule="auto"/>
    </w:pPr>
    <w:rPr>
      <w:rFonts w:ascii="Calibri" w:hAnsi="Calibri" w:eastAsia="宋体" w:cs="Times New Roman"/>
      <w:sz w:val="22"/>
      <w:szCs w:val="22"/>
      <w:lang w:val="en-US" w:eastAsia="zh-CN" w:bidi="ar-SA"/>
    </w:rPr>
  </w:style>
  <w:style w:type="paragraph" w:customStyle="1" w:styleId="61">
    <w:name w:val="列出段落1"/>
    <w:basedOn w:val="1"/>
    <w:link w:val="73"/>
    <w:qFormat/>
    <w:uiPriority w:val="34"/>
    <w:pPr>
      <w:spacing w:line="240" w:lineRule="auto"/>
      <w:ind w:firstLine="420" w:firstLineChars="200"/>
    </w:pPr>
    <w:rPr>
      <w:rFonts w:eastAsia="宋体" w:cs="Times New Roman"/>
      <w:kern w:val="0"/>
      <w:sz w:val="20"/>
      <w:szCs w:val="20"/>
    </w:rPr>
  </w:style>
  <w:style w:type="paragraph" w:customStyle="1" w:styleId="62">
    <w:name w:val="代码行"/>
    <w:basedOn w:val="34"/>
    <w:qFormat/>
    <w:uiPriority w:val="0"/>
    <w:pPr>
      <w:shd w:val="clear" w:color="auto" w:fill="EAF1DD"/>
      <w:spacing w:after="0" w:line="288" w:lineRule="auto"/>
      <w:ind w:firstLine="200" w:firstLineChars="200"/>
    </w:pPr>
    <w:rPr>
      <w:sz w:val="18"/>
    </w:rPr>
  </w:style>
  <w:style w:type="paragraph" w:customStyle="1" w:styleId="63">
    <w:name w:val="样式 标题 1 + 宋体 左 段前: 0 磅 段后: 0 磅 顶端: (单实线 橙色  2.25 磅 行宽) 行距..."/>
    <w:basedOn w:val="2"/>
    <w:qFormat/>
    <w:uiPriority w:val="0"/>
    <w:pPr>
      <w:spacing w:before="0" w:after="0" w:line="360" w:lineRule="auto"/>
      <w:jc w:val="left"/>
    </w:pPr>
    <w:rPr>
      <w:rFonts w:cs="宋体"/>
      <w:szCs w:val="20"/>
    </w:rPr>
  </w:style>
  <w:style w:type="paragraph" w:customStyle="1" w:styleId="64">
    <w:name w:val="Table Paragraph"/>
    <w:basedOn w:val="1"/>
    <w:qFormat/>
    <w:uiPriority w:val="1"/>
  </w:style>
  <w:style w:type="character" w:customStyle="1" w:styleId="65">
    <w:name w:val="页眉 字符"/>
    <w:link w:val="24"/>
    <w:qFormat/>
    <w:uiPriority w:val="99"/>
    <w:rPr>
      <w:rFonts w:eastAsia="仿宋"/>
      <w:sz w:val="18"/>
      <w:szCs w:val="18"/>
    </w:rPr>
  </w:style>
  <w:style w:type="character" w:customStyle="1" w:styleId="66">
    <w:name w:val="页脚 字符"/>
    <w:link w:val="23"/>
    <w:qFormat/>
    <w:uiPriority w:val="99"/>
    <w:rPr>
      <w:rFonts w:eastAsia="仿宋"/>
      <w:sz w:val="18"/>
      <w:szCs w:val="18"/>
    </w:rPr>
  </w:style>
  <w:style w:type="character" w:customStyle="1" w:styleId="67">
    <w:name w:val="标题 9 字符"/>
    <w:link w:val="10"/>
    <w:qFormat/>
    <w:uiPriority w:val="0"/>
    <w:rPr>
      <w:rFonts w:ascii="Tahoma" w:hAnsi="Tahoma" w:eastAsia="宋体" w:cs="Times New Roman"/>
      <w:i/>
      <w:kern w:val="0"/>
      <w:sz w:val="18"/>
      <w:szCs w:val="20"/>
    </w:rPr>
  </w:style>
  <w:style w:type="character" w:customStyle="1" w:styleId="68">
    <w:name w:val="批注文字 字符"/>
    <w:link w:val="15"/>
    <w:qFormat/>
    <w:uiPriority w:val="99"/>
    <w:rPr>
      <w:rFonts w:eastAsia="仿宋"/>
      <w:sz w:val="24"/>
    </w:rPr>
  </w:style>
  <w:style w:type="character" w:customStyle="1" w:styleId="69">
    <w:name w:val="标题 8 字符"/>
    <w:link w:val="9"/>
    <w:qFormat/>
    <w:uiPriority w:val="0"/>
    <w:rPr>
      <w:rFonts w:ascii="Tahoma" w:hAnsi="Tahoma" w:eastAsia="宋体" w:cs="Times New Roman"/>
      <w:i/>
      <w:kern w:val="0"/>
      <w:sz w:val="20"/>
      <w:szCs w:val="20"/>
    </w:rPr>
  </w:style>
  <w:style w:type="character" w:customStyle="1" w:styleId="70">
    <w:name w:val="标题 7 字符"/>
    <w:link w:val="8"/>
    <w:qFormat/>
    <w:uiPriority w:val="0"/>
    <w:rPr>
      <w:rFonts w:ascii="微软雅黑" w:hAnsi="微软雅黑" w:eastAsia="微软雅黑" w:cs="Times New Roman"/>
      <w:i/>
      <w:color w:val="333333"/>
      <w:kern w:val="0"/>
      <w:sz w:val="22"/>
      <w:szCs w:val="28"/>
      <w:u w:val="single"/>
    </w:rPr>
  </w:style>
  <w:style w:type="character" w:customStyle="1" w:styleId="71">
    <w:name w:val="标题 2 字符"/>
    <w:link w:val="3"/>
    <w:qFormat/>
    <w:uiPriority w:val="0"/>
    <w:rPr>
      <w:rFonts w:ascii="宋体" w:hAnsi="宋体" w:eastAsia="宋体" w:cs="黑体"/>
      <w:b/>
      <w:bCs/>
      <w:color w:val="000000"/>
      <w:kern w:val="2"/>
      <w:sz w:val="32"/>
      <w:szCs w:val="32"/>
    </w:rPr>
  </w:style>
  <w:style w:type="character" w:customStyle="1" w:styleId="72">
    <w:name w:val="批注主题 字符"/>
    <w:link w:val="33"/>
    <w:semiHidden/>
    <w:qFormat/>
    <w:uiPriority w:val="99"/>
    <w:rPr>
      <w:rFonts w:eastAsia="仿宋"/>
      <w:b/>
      <w:bCs/>
      <w:sz w:val="24"/>
    </w:rPr>
  </w:style>
  <w:style w:type="character" w:customStyle="1" w:styleId="73">
    <w:name w:val="列出段落 Char1"/>
    <w:link w:val="61"/>
    <w:qFormat/>
    <w:uiPriority w:val="34"/>
    <w:rPr>
      <w:rFonts w:ascii="Calibri" w:hAnsi="Calibri"/>
    </w:rPr>
  </w:style>
  <w:style w:type="character" w:customStyle="1" w:styleId="74">
    <w:name w:val="标题 1 字符"/>
    <w:link w:val="2"/>
    <w:qFormat/>
    <w:uiPriority w:val="0"/>
    <w:rPr>
      <w:rFonts w:ascii="宋体" w:hAnsi="宋体" w:cs="黑体"/>
      <w:b/>
      <w:bCs/>
      <w:kern w:val="44"/>
      <w:sz w:val="44"/>
      <w:szCs w:val="44"/>
    </w:rPr>
  </w:style>
  <w:style w:type="character" w:customStyle="1" w:styleId="75">
    <w:name w:val="My正文 Char Char"/>
    <w:link w:val="45"/>
    <w:qFormat/>
    <w:uiPriority w:val="0"/>
    <w:rPr>
      <w:rFonts w:ascii="Arial" w:hAnsi="Arial" w:eastAsia="宋体" w:cs="Times New Roman"/>
      <w:kern w:val="0"/>
      <w:sz w:val="24"/>
      <w:szCs w:val="20"/>
    </w:rPr>
  </w:style>
  <w:style w:type="character" w:customStyle="1" w:styleId="76">
    <w:name w:val="标题 3 字符"/>
    <w:link w:val="4"/>
    <w:qFormat/>
    <w:uiPriority w:val="0"/>
    <w:rPr>
      <w:rFonts w:ascii="Calibri" w:hAnsi="Calibri" w:eastAsia="仿宋" w:cs="黑体"/>
      <w:b/>
      <w:bCs/>
      <w:kern w:val="2"/>
      <w:sz w:val="24"/>
      <w:szCs w:val="32"/>
    </w:rPr>
  </w:style>
  <w:style w:type="character" w:customStyle="1" w:styleId="77">
    <w:name w:val="列出段落 Char"/>
    <w:link w:val="50"/>
    <w:qFormat/>
    <w:uiPriority w:val="0"/>
  </w:style>
  <w:style w:type="character" w:customStyle="1" w:styleId="78">
    <w:name w:val="纯文本 字符"/>
    <w:link w:val="20"/>
    <w:qFormat/>
    <w:uiPriority w:val="0"/>
    <w:rPr>
      <w:rFonts w:ascii="宋体" w:hAnsi="Courier New" w:eastAsia="宋体" w:cs="Times New Roman"/>
      <w:szCs w:val="20"/>
    </w:rPr>
  </w:style>
  <w:style w:type="character" w:customStyle="1" w:styleId="79">
    <w:name w:val="标题 6 字符"/>
    <w:link w:val="7"/>
    <w:qFormat/>
    <w:uiPriority w:val="0"/>
    <w:rPr>
      <w:rFonts w:ascii="Tahoma" w:hAnsi="Tahoma" w:eastAsia="宋体" w:cs="Times New Roman"/>
      <w:i/>
      <w:kern w:val="0"/>
      <w:szCs w:val="20"/>
    </w:rPr>
  </w:style>
  <w:style w:type="character" w:customStyle="1" w:styleId="80">
    <w:name w:val="标题 5 字符"/>
    <w:link w:val="6"/>
    <w:qFormat/>
    <w:uiPriority w:val="0"/>
    <w:rPr>
      <w:rFonts w:ascii="Tahoma" w:hAnsi="Tahoma" w:eastAsia="宋体" w:cs="Times New Roman"/>
      <w:kern w:val="0"/>
      <w:szCs w:val="20"/>
    </w:rPr>
  </w:style>
  <w:style w:type="character" w:customStyle="1" w:styleId="81">
    <w:name w:val="批注框文本 字符"/>
    <w:link w:val="22"/>
    <w:semiHidden/>
    <w:qFormat/>
    <w:uiPriority w:val="99"/>
    <w:rPr>
      <w:sz w:val="18"/>
      <w:szCs w:val="18"/>
    </w:rPr>
  </w:style>
  <w:style w:type="character" w:customStyle="1" w:styleId="82">
    <w:name w:val="标题 4 字符"/>
    <w:link w:val="5"/>
    <w:qFormat/>
    <w:uiPriority w:val="0"/>
    <w:rPr>
      <w:rFonts w:ascii="微软雅黑" w:hAnsi="微软雅黑" w:eastAsia="微软雅黑" w:cs="Times New Roman"/>
      <w:i/>
      <w:color w:val="333333"/>
      <w:kern w:val="0"/>
      <w:sz w:val="22"/>
      <w:szCs w:val="28"/>
      <w:u w:val="single"/>
    </w:rPr>
  </w:style>
  <w:style w:type="character" w:customStyle="1" w:styleId="83">
    <w:name w:val="脚注文本 字符"/>
    <w:link w:val="27"/>
    <w:semiHidden/>
    <w:qFormat/>
    <w:uiPriority w:val="0"/>
    <w:rPr>
      <w:kern w:val="2"/>
      <w:sz w:val="18"/>
      <w:szCs w:val="18"/>
    </w:rPr>
  </w:style>
  <w:style w:type="paragraph" w:customStyle="1" w:styleId="84">
    <w:name w:val="列表段落1"/>
    <w:basedOn w:val="1"/>
    <w:qFormat/>
    <w:uiPriority w:val="34"/>
    <w:pPr>
      <w:spacing w:line="324" w:lineRule="auto"/>
      <w:ind w:firstLine="420" w:firstLineChars="200"/>
    </w:pPr>
    <w:rPr>
      <w:rFonts w:ascii="等线" w:hAnsi="等线" w:eastAsia="等线" w:cs="Times New Roman"/>
      <w:szCs w:val="24"/>
    </w:rPr>
  </w:style>
  <w:style w:type="character" w:customStyle="1" w:styleId="85">
    <w:name w:val="标题 字符"/>
    <w:basedOn w:val="37"/>
    <w:link w:val="32"/>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26C8-EF85-DD4D-A747-D69CCA8A79FF}">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4197</Words>
  <Characters>4244</Characters>
  <Lines>1</Lines>
  <Paragraphs>12</Paragraphs>
  <TotalTime>68</TotalTime>
  <ScaleCrop>false</ScaleCrop>
  <LinksUpToDate>false</LinksUpToDate>
  <CharactersWithSpaces>4269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2022-06-22T09:46:00Z</dcterms:created>
  <dc:creator>gaoxiulan</dc:creator>
  <cp:lastModifiedBy>大国崛起</cp:lastModifiedBy>
  <dcterms:modified xsi:type="dcterms:W3CDTF">2022-06-24T08:25:59Z</dcterms:modified>
  <dc:title>定点医疗机构</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E90A056A54814AE699C45A8E4ACF0651</vt:lpwstr>
  </property>
</Properties>
</file>