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numPr>
          <w:ilvl w:val="0"/>
          <w:numId w:val="0"/>
        </w:numPr>
        <w:snapToGrid w:val="0"/>
        <w:spacing w:line="360" w:lineRule="auto"/>
        <w:jc w:val="center"/>
        <w:rPr>
          <w:rFonts w:hint="eastAsia" w:ascii="Times New Roman" w:hAnsi="宋体" w:eastAsia="宋体" w:cs="Times New Roman"/>
          <w:color w:val="auto"/>
          <w:kern w:val="2"/>
          <w:sz w:val="36"/>
          <w:szCs w:val="28"/>
          <w:lang w:val="en-US" w:eastAsia="zh-CN"/>
        </w:rPr>
      </w:pPr>
    </w:p>
    <w:p>
      <w:pPr>
        <w:pStyle w:val="2"/>
        <w:keepLines w:val="0"/>
        <w:numPr>
          <w:ilvl w:val="0"/>
          <w:numId w:val="0"/>
        </w:numPr>
        <w:snapToGrid w:val="0"/>
        <w:spacing w:line="360" w:lineRule="auto"/>
        <w:jc w:val="center"/>
        <w:rPr>
          <w:rFonts w:hint="eastAsia" w:ascii="Times New Roman" w:hAnsi="宋体" w:eastAsia="宋体" w:cs="Times New Roman"/>
          <w:color w:val="auto"/>
          <w:kern w:val="2"/>
          <w:sz w:val="36"/>
          <w:szCs w:val="28"/>
          <w:lang w:val="en-US" w:eastAsia="zh-CN"/>
        </w:rPr>
      </w:pPr>
      <w:r>
        <w:rPr>
          <w:rFonts w:hint="eastAsia" w:ascii="Times New Roman" w:hAnsi="宋体" w:cs="Times New Roman"/>
          <w:color w:val="auto"/>
          <w:kern w:val="2"/>
          <w:sz w:val="36"/>
          <w:szCs w:val="28"/>
          <w:lang w:val="en-US" w:eastAsia="zh-CN"/>
        </w:rPr>
        <w:t>门诊专科营养软件</w:t>
      </w:r>
      <w:r>
        <w:rPr>
          <w:rFonts w:hint="eastAsia" w:ascii="Times New Roman" w:hAnsi="宋体" w:eastAsia="宋体" w:cs="Times New Roman"/>
          <w:color w:val="auto"/>
          <w:kern w:val="2"/>
          <w:sz w:val="36"/>
          <w:szCs w:val="28"/>
          <w:lang w:val="en-US" w:eastAsia="zh-CN"/>
        </w:rPr>
        <w:t>系统要求</w:t>
      </w:r>
    </w:p>
    <w:p>
      <w:pPr>
        <w:spacing w:line="480" w:lineRule="auto"/>
        <w:rPr>
          <w:b/>
          <w:bCs/>
          <w:sz w:val="30"/>
          <w:szCs w:val="30"/>
        </w:rPr>
      </w:pPr>
      <w:r>
        <w:rPr>
          <w:rFonts w:hint="eastAsia"/>
          <w:b/>
          <w:bCs/>
          <w:sz w:val="30"/>
          <w:szCs w:val="30"/>
          <w:lang w:val="en-US" w:eastAsia="zh-CN"/>
        </w:rPr>
        <w:t>一、</w:t>
      </w:r>
      <w:r>
        <w:rPr>
          <w:b/>
          <w:bCs/>
          <w:sz w:val="30"/>
          <w:szCs w:val="30"/>
        </w:rPr>
        <w:t>供应商资格要求：</w:t>
      </w:r>
    </w:p>
    <w:p>
      <w:pPr>
        <w:rPr>
          <w:rFonts w:hint="eastAsia" w:ascii="宋体" w:hAnsi="宋体" w:cs="宋体"/>
          <w:lang w:val="en-US" w:eastAsia="zh-CN"/>
        </w:rPr>
      </w:pPr>
      <w:r>
        <w:rPr>
          <w:rFonts w:hint="eastAsia" w:ascii="宋体" w:hAnsi="宋体" w:cs="宋体"/>
          <w:lang w:val="en-US" w:eastAsia="zh-CN"/>
        </w:rPr>
        <w:t>1、符合《中华人民共和国政府采购法》第二十二条对供应商的资格要求；</w:t>
      </w:r>
    </w:p>
    <w:p>
      <w:pPr>
        <w:rPr>
          <w:rFonts w:hint="eastAsia" w:ascii="宋体" w:hAnsi="宋体" w:cs="宋体"/>
          <w:lang w:val="en-US" w:eastAsia="zh-CN"/>
        </w:rPr>
      </w:pPr>
      <w:r>
        <w:rPr>
          <w:rFonts w:hint="eastAsia" w:ascii="宋体" w:hAnsi="宋体" w:cs="宋体"/>
          <w:lang w:val="en-US" w:eastAsia="zh-CN"/>
        </w:rPr>
        <w:t>2.供应商需提供医院合作案例清单；</w:t>
      </w:r>
    </w:p>
    <w:p>
      <w:pPr>
        <w:rPr>
          <w:rFonts w:hint="eastAsia" w:ascii="宋体" w:hAnsi="宋体" w:cs="宋体"/>
          <w:lang w:val="en-US" w:eastAsia="zh-CN"/>
        </w:rPr>
      </w:pPr>
      <w:r>
        <w:rPr>
          <w:rFonts w:hint="eastAsia" w:ascii="宋体" w:hAnsi="宋体" w:cs="宋体"/>
          <w:lang w:val="en-US" w:eastAsia="zh-CN"/>
        </w:rPr>
        <w:t>3. 不接受联合体投标；</w:t>
      </w:r>
    </w:p>
    <w:p>
      <w:pPr>
        <w:rPr>
          <w:rFonts w:hint="eastAsia" w:ascii="宋体" w:hAnsi="宋体" w:cs="宋体"/>
          <w:lang w:val="en-US" w:eastAsia="zh-CN"/>
        </w:rPr>
      </w:pPr>
      <w:r>
        <w:rPr>
          <w:rFonts w:hint="eastAsia" w:ascii="宋体" w:hAnsi="宋体" w:cs="宋体"/>
          <w:lang w:val="en-US" w:eastAsia="zh-CN"/>
        </w:rPr>
        <w:t>4、法律、行政法规规定的其他条件。</w:t>
      </w:r>
    </w:p>
    <w:p>
      <w:pPr>
        <w:rPr>
          <w:rFonts w:hint="eastAsia"/>
          <w:lang w:val="en-US" w:eastAsia="zh-CN"/>
        </w:rPr>
      </w:pPr>
    </w:p>
    <w:p>
      <w:pPr>
        <w:autoSpaceDN w:val="0"/>
        <w:spacing w:line="460" w:lineRule="exact"/>
        <w:rPr>
          <w:rFonts w:hint="eastAsia" w:ascii="新宋体" w:hAnsi="新宋体" w:eastAsia="新宋体" w:cs="新宋体"/>
          <w:bCs/>
          <w:sz w:val="30"/>
          <w:szCs w:val="30"/>
        </w:rPr>
      </w:pPr>
      <w:r>
        <w:rPr>
          <w:rFonts w:hint="eastAsia" w:ascii="新宋体" w:hAnsi="新宋体" w:eastAsia="新宋体" w:cs="新宋体"/>
          <w:b/>
          <w:bCs w:val="0"/>
          <w:sz w:val="30"/>
          <w:szCs w:val="30"/>
          <w:lang w:val="en-US" w:eastAsia="zh-CN"/>
        </w:rPr>
        <w:t>二、招标内容</w:t>
      </w:r>
      <w:r>
        <w:rPr>
          <w:rFonts w:hint="eastAsia" w:ascii="新宋体" w:hAnsi="新宋体" w:eastAsia="新宋体" w:cs="新宋体"/>
          <w:bCs/>
          <w:sz w:val="30"/>
          <w:szCs w:val="30"/>
        </w:rPr>
        <w:t xml:space="preserve">： </w:t>
      </w:r>
      <w:bookmarkStart w:id="0" w:name="_GoBack"/>
      <w:bookmarkEnd w:id="0"/>
    </w:p>
    <w:p>
      <w:pPr>
        <w:rPr>
          <w:rFonts w:hint="eastAsia"/>
          <w:lang w:val="en-US" w:eastAsia="zh-CN"/>
        </w:rPr>
      </w:pPr>
    </w:p>
    <w:tbl>
      <w:tblPr>
        <w:tblStyle w:val="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7"/>
        <w:gridCol w:w="5159"/>
        <w:gridCol w:w="84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编号</w:t>
            </w:r>
          </w:p>
        </w:tc>
        <w:tc>
          <w:tcPr>
            <w:tcW w:w="141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名称</w:t>
            </w:r>
          </w:p>
        </w:tc>
        <w:tc>
          <w:tcPr>
            <w:tcW w:w="515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要求</w:t>
            </w:r>
          </w:p>
        </w:tc>
        <w:tc>
          <w:tcPr>
            <w:tcW w:w="84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数量</w:t>
            </w:r>
          </w:p>
        </w:tc>
        <w:tc>
          <w:tcPr>
            <w:tcW w:w="1475" w:type="dxa"/>
            <w:vAlign w:val="center"/>
          </w:tcPr>
          <w:p>
            <w:pPr>
              <w:spacing w:line="300" w:lineRule="exact"/>
              <w:jc w:val="center"/>
              <w:rPr>
                <w:rFonts w:hint="eastAsia" w:ascii="宋体" w:hAnsi="宋体" w:eastAsia="宋体"/>
                <w:b/>
                <w:bCs/>
                <w:color w:val="auto"/>
                <w:sz w:val="24"/>
                <w:szCs w:val="24"/>
                <w:lang w:eastAsia="zh-CN"/>
              </w:rPr>
            </w:pPr>
            <w:r>
              <w:rPr>
                <w:rFonts w:hint="eastAsia" w:ascii="宋体" w:hAnsi="宋体"/>
                <w:color w:val="00000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1417" w:type="dxa"/>
            <w:vAlign w:val="center"/>
          </w:tcPr>
          <w:p>
            <w:pPr>
              <w:jc w:val="center"/>
              <w:rPr>
                <w:rFonts w:hint="default" w:ascii="宋体" w:hAnsi="宋体" w:eastAsia="宋体"/>
                <w:sz w:val="24"/>
                <w:szCs w:val="24"/>
                <w:lang w:val="en-US" w:eastAsia="zh-CN"/>
              </w:rPr>
            </w:pPr>
            <w:r>
              <w:rPr>
                <w:rFonts w:hint="eastAsia" w:ascii="宋体" w:hAnsi="宋体"/>
                <w:color w:val="000000"/>
                <w:sz w:val="24"/>
                <w:szCs w:val="24"/>
              </w:rPr>
              <w:t>营养门诊信息系统</w:t>
            </w:r>
            <w:r>
              <w:rPr>
                <w:rFonts w:hint="eastAsia" w:ascii="宋体" w:hAnsi="宋体"/>
                <w:color w:val="000000"/>
                <w:sz w:val="24"/>
                <w:szCs w:val="24"/>
                <w:lang w:val="en-US" w:eastAsia="zh-CN"/>
              </w:rPr>
              <w:t>(儿童版)</w:t>
            </w:r>
          </w:p>
        </w:tc>
        <w:tc>
          <w:tcPr>
            <w:tcW w:w="5159" w:type="dxa"/>
          </w:tcPr>
          <w:p>
            <w:pPr>
              <w:rPr>
                <w:rFonts w:ascii="宋体" w:hAnsi="宋体"/>
                <w:sz w:val="24"/>
                <w:szCs w:val="24"/>
              </w:rPr>
            </w:pPr>
            <w:r>
              <w:rPr>
                <w:rFonts w:hint="eastAsia" w:ascii="宋体" w:hAnsi="宋体"/>
                <w:color w:val="000000"/>
                <w:sz w:val="24"/>
                <w:szCs w:val="24"/>
              </w:rPr>
              <w:t>通过系统</w:t>
            </w:r>
            <w:r>
              <w:rPr>
                <w:rFonts w:hint="eastAsia" w:ascii="宋体" w:hAnsi="宋体"/>
                <w:color w:val="000000"/>
                <w:sz w:val="24"/>
                <w:szCs w:val="24"/>
                <w:lang w:val="en-US" w:eastAsia="zh-CN"/>
              </w:rPr>
              <w:t>中</w:t>
            </w:r>
            <w:r>
              <w:rPr>
                <w:rFonts w:hint="eastAsia" w:ascii="宋体" w:hAnsi="宋体"/>
                <w:color w:val="000000"/>
                <w:sz w:val="24"/>
                <w:szCs w:val="24"/>
              </w:rPr>
              <w:t>的一系列营养评估工具对患者个体进行各项专业营养评估，得出个人的营养风险及营养素需求标准，给出个性化的食谱方案、运动方案、中医食疗方案及相关营养指导建议</w:t>
            </w:r>
          </w:p>
        </w:tc>
        <w:tc>
          <w:tcPr>
            <w:tcW w:w="84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1475" w:type="dxa"/>
            <w:vAlign w:val="center"/>
          </w:tcPr>
          <w:p>
            <w:pPr>
              <w:spacing w:line="30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1417" w:type="dxa"/>
            <w:vAlign w:val="center"/>
          </w:tcPr>
          <w:p>
            <w:pPr>
              <w:jc w:val="center"/>
              <w:rPr>
                <w:rFonts w:hint="default" w:ascii="宋体" w:hAnsi="宋体" w:eastAsia="宋体"/>
                <w:sz w:val="24"/>
                <w:szCs w:val="24"/>
                <w:lang w:val="en-US" w:eastAsia="zh-CN"/>
              </w:rPr>
            </w:pPr>
            <w:r>
              <w:rPr>
                <w:rFonts w:hint="eastAsia" w:ascii="宋体" w:hAnsi="宋体"/>
                <w:color w:val="000000"/>
                <w:sz w:val="24"/>
                <w:szCs w:val="24"/>
              </w:rPr>
              <w:t>营养门诊信息系统</w:t>
            </w:r>
            <w:r>
              <w:rPr>
                <w:rFonts w:hint="eastAsia" w:ascii="宋体" w:hAnsi="宋体"/>
                <w:color w:val="000000"/>
                <w:sz w:val="24"/>
                <w:szCs w:val="24"/>
                <w:lang w:val="en-US" w:eastAsia="zh-CN"/>
              </w:rPr>
              <w:t>(妇女版)</w:t>
            </w:r>
          </w:p>
        </w:tc>
        <w:tc>
          <w:tcPr>
            <w:tcW w:w="5159" w:type="dxa"/>
          </w:tcPr>
          <w:p>
            <w:pPr>
              <w:rPr>
                <w:rFonts w:hint="eastAsia" w:ascii="宋体" w:hAnsi="宋体"/>
                <w:sz w:val="24"/>
                <w:szCs w:val="24"/>
                <w:lang w:val="en-US" w:eastAsia="zh-CN"/>
              </w:rPr>
            </w:pPr>
            <w:r>
              <w:rPr>
                <w:rFonts w:hint="eastAsia" w:ascii="宋体" w:hAnsi="宋体"/>
                <w:color w:val="000000"/>
                <w:sz w:val="24"/>
                <w:szCs w:val="24"/>
              </w:rPr>
              <w:t>通过系统内嵌的一系列营养评估工具对患者个体进行各项专业营养评估，得出个人的营养风险及营养素需求标准，给出个性化的食谱方案、运动方案、中医食疗方案及相关营养指导建议</w:t>
            </w:r>
          </w:p>
        </w:tc>
        <w:tc>
          <w:tcPr>
            <w:tcW w:w="849" w:type="dxa"/>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75" w:type="dxa"/>
            <w:vAlign w:val="center"/>
          </w:tcPr>
          <w:p>
            <w:pPr>
              <w:spacing w:line="30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套</w:t>
            </w:r>
          </w:p>
        </w:tc>
      </w:tr>
    </w:tbl>
    <w:p>
      <w:pPr>
        <w:rPr>
          <w:rFonts w:hint="eastAsia"/>
          <w:lang w:val="en-US" w:eastAsia="zh-CN"/>
        </w:rPr>
      </w:pPr>
    </w:p>
    <w:p>
      <w:pPr>
        <w:numPr>
          <w:ilvl w:val="0"/>
          <w:numId w:val="4"/>
        </w:numPr>
        <w:autoSpaceDN w:val="0"/>
        <w:spacing w:line="460" w:lineRule="exact"/>
        <w:rPr>
          <w:rFonts w:hint="eastAsia" w:ascii="新宋体" w:hAnsi="新宋体" w:eastAsia="新宋体" w:cs="新宋体"/>
          <w:b/>
          <w:bCs w:val="0"/>
          <w:sz w:val="30"/>
          <w:szCs w:val="30"/>
          <w:lang w:val="en-US" w:eastAsia="zh-CN"/>
        </w:rPr>
      </w:pPr>
      <w:r>
        <w:rPr>
          <w:rFonts w:hint="eastAsia" w:ascii="新宋体" w:hAnsi="新宋体" w:eastAsia="新宋体" w:cs="新宋体"/>
          <w:b/>
          <w:bCs w:val="0"/>
          <w:sz w:val="30"/>
          <w:szCs w:val="30"/>
          <w:lang w:val="en-US" w:eastAsia="zh-CN"/>
        </w:rPr>
        <w:t>技术参数和功能要求</w:t>
      </w:r>
    </w:p>
    <w:p>
      <w:pPr>
        <w:pStyle w:val="2"/>
        <w:numPr>
          <w:ilvl w:val="0"/>
          <w:numId w:val="0"/>
        </w:numPr>
        <w:rPr>
          <w:rFonts w:hint="default"/>
          <w:lang w:val="en-US" w:eastAsia="zh-CN"/>
        </w:rPr>
      </w:pPr>
      <w:r>
        <w:rPr>
          <w:rFonts w:hint="eastAsia"/>
          <w:lang w:val="en-US" w:eastAsia="zh-CN"/>
        </w:rPr>
        <w:t>1.</w:t>
      </w:r>
      <w:r>
        <w:rPr>
          <w:rFonts w:hint="eastAsia" w:ascii="宋体" w:hAnsi="宋体"/>
          <w:color w:val="000000"/>
          <w:sz w:val="24"/>
          <w:szCs w:val="24"/>
        </w:rPr>
        <w:t>营养门诊信息系统</w:t>
      </w:r>
      <w:r>
        <w:rPr>
          <w:rFonts w:hint="eastAsia" w:ascii="宋体" w:hAnsi="宋体"/>
          <w:color w:val="000000"/>
          <w:sz w:val="24"/>
          <w:szCs w:val="24"/>
          <w:lang w:val="en-US" w:eastAsia="zh-CN"/>
        </w:rPr>
        <w:t>(儿童版)</w:t>
      </w:r>
    </w:p>
    <w:tbl>
      <w:tblPr>
        <w:tblStyle w:val="8"/>
        <w:tblW w:w="8931" w:type="dxa"/>
        <w:tblInd w:w="-176" w:type="dxa"/>
        <w:tblLayout w:type="autofit"/>
        <w:tblCellMar>
          <w:top w:w="0" w:type="dxa"/>
          <w:left w:w="108" w:type="dxa"/>
          <w:bottom w:w="0" w:type="dxa"/>
          <w:right w:w="108" w:type="dxa"/>
        </w:tblCellMar>
      </w:tblPr>
      <w:tblGrid>
        <w:gridCol w:w="993"/>
        <w:gridCol w:w="992"/>
        <w:gridCol w:w="6946"/>
      </w:tblGrid>
      <w:tr>
        <w:tblPrEx>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ind w:firstLine="0" w:firstLineChars="0"/>
              <w:jc w:val="center"/>
              <w:rPr>
                <w:rFonts w:ascii="宋体" w:hAnsi="宋体" w:cs="宋体"/>
                <w:b/>
                <w:bCs/>
                <w:color w:val="FFFFFF"/>
                <w:kern w:val="0"/>
                <w:sz w:val="18"/>
                <w:szCs w:val="18"/>
              </w:rPr>
            </w:pPr>
            <w:r>
              <w:rPr>
                <w:rFonts w:hint="eastAsia" w:ascii="宋体" w:hAnsi="宋体" w:cs="宋体"/>
                <w:b/>
                <w:bCs/>
                <w:color w:val="FFFFFF"/>
                <w:kern w:val="0"/>
                <w:sz w:val="18"/>
                <w:szCs w:val="18"/>
              </w:rPr>
              <w:t>系统模块</w:t>
            </w:r>
          </w:p>
        </w:tc>
        <w:tc>
          <w:tcPr>
            <w:tcW w:w="992"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ind w:firstLine="0" w:firstLineChars="0"/>
              <w:jc w:val="center"/>
              <w:rPr>
                <w:rFonts w:hint="eastAsia" w:ascii="宋体" w:hAnsi="宋体" w:cs="宋体"/>
                <w:b/>
                <w:bCs/>
                <w:color w:val="FFFFFF"/>
                <w:kern w:val="0"/>
                <w:sz w:val="18"/>
                <w:szCs w:val="18"/>
              </w:rPr>
            </w:pPr>
            <w:r>
              <w:rPr>
                <w:rFonts w:hint="eastAsia" w:ascii="宋体" w:hAnsi="宋体" w:cs="宋体"/>
                <w:b/>
                <w:bCs/>
                <w:color w:val="FFFFFF"/>
                <w:kern w:val="0"/>
                <w:sz w:val="18"/>
                <w:szCs w:val="18"/>
              </w:rPr>
              <w:t>项目</w:t>
            </w:r>
          </w:p>
        </w:tc>
        <w:tc>
          <w:tcPr>
            <w:tcW w:w="6946"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ind w:firstLine="0" w:firstLineChars="0"/>
              <w:jc w:val="center"/>
              <w:rPr>
                <w:rFonts w:hint="eastAsia" w:ascii="宋体" w:hAnsi="宋体" w:cs="宋体"/>
                <w:b/>
                <w:bCs/>
                <w:color w:val="FFFFFF"/>
                <w:kern w:val="0"/>
                <w:sz w:val="18"/>
                <w:szCs w:val="18"/>
              </w:rPr>
            </w:pPr>
            <w:r>
              <w:rPr>
                <w:rFonts w:hint="eastAsia" w:ascii="宋体" w:hAnsi="宋体" w:cs="宋体"/>
                <w:b/>
                <w:bCs/>
                <w:color w:val="FFFFFF"/>
                <w:kern w:val="0"/>
                <w:sz w:val="18"/>
                <w:szCs w:val="18"/>
              </w:rPr>
              <w:t>功能明细</w:t>
            </w:r>
          </w:p>
        </w:tc>
      </w:tr>
      <w:tr>
        <w:tblPrEx>
          <w:tblCellMar>
            <w:top w:w="0" w:type="dxa"/>
            <w:left w:w="108" w:type="dxa"/>
            <w:bottom w:w="0" w:type="dxa"/>
            <w:right w:w="108" w:type="dxa"/>
          </w:tblCellMar>
        </w:tblPrEx>
        <w:trPr>
          <w:trHeight w:val="1000" w:hRule="atLeast"/>
        </w:trPr>
        <w:tc>
          <w:tcPr>
            <w:tcW w:w="993"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门诊档案</w:t>
            </w:r>
          </w:p>
        </w:tc>
        <w:tc>
          <w:tcPr>
            <w:tcW w:w="992" w:type="dxa"/>
            <w:tcBorders>
              <w:top w:val="single" w:color="auto" w:sz="4" w:space="0"/>
              <w:left w:val="nil"/>
              <w:bottom w:val="single" w:color="auto"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基本信息档案</w:t>
            </w:r>
          </w:p>
        </w:tc>
        <w:tc>
          <w:tcPr>
            <w:tcW w:w="6946" w:type="dxa"/>
            <w:tcBorders>
              <w:top w:val="single" w:color="auto" w:sz="4" w:space="0"/>
              <w:left w:val="nil"/>
              <w:bottom w:val="single" w:color="auto" w:sz="8" w:space="0"/>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包含患者姓名、性别、出生日期、早产情况、胎龄、出身身长、出生体重、喂养方式、开始发胖年龄、父亲年龄、父亲身高、父亲体重、父亲BMI（自动计算）、父亲疾病史、母亲年龄、母亲身高、母亲体重、母亲BMI（自动计算）、母亲疾病史、饮食偏好、家庭地址、邮编、联系电话等信息。</w:t>
            </w:r>
          </w:p>
        </w:tc>
      </w:tr>
      <w:tr>
        <w:tblPrEx>
          <w:tblCellMar>
            <w:top w:w="0" w:type="dxa"/>
            <w:left w:w="108" w:type="dxa"/>
            <w:bottom w:w="0" w:type="dxa"/>
            <w:right w:w="108" w:type="dxa"/>
          </w:tblCellMar>
        </w:tblPrEx>
        <w:trPr>
          <w:trHeight w:val="660" w:hRule="atLeast"/>
        </w:trPr>
        <w:tc>
          <w:tcPr>
            <w:tcW w:w="993"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tcBorders>
              <w:top w:val="nil"/>
              <w:left w:val="nil"/>
              <w:bottom w:val="single" w:color="auto"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营养门诊记录</w:t>
            </w:r>
          </w:p>
        </w:tc>
        <w:tc>
          <w:tcPr>
            <w:tcW w:w="6946" w:type="dxa"/>
            <w:tcBorders>
              <w:top w:val="nil"/>
              <w:left w:val="nil"/>
              <w:bottom w:val="single" w:color="auto" w:sz="8" w:space="0"/>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包含患者门诊号、门诊日期、年龄（自动计算、仅限0-18岁）、健康状况、每日看电视时长、每日户外活动时长、起床/就寝时间、打鼾情况、排便情况等信息。</w:t>
            </w:r>
          </w:p>
        </w:tc>
      </w:tr>
      <w:tr>
        <w:tblPrEx>
          <w:tblCellMar>
            <w:top w:w="0" w:type="dxa"/>
            <w:left w:w="108" w:type="dxa"/>
            <w:bottom w:w="0" w:type="dxa"/>
            <w:right w:w="108" w:type="dxa"/>
          </w:tblCellMar>
        </w:tblPrEx>
        <w:trPr>
          <w:trHeight w:val="1191" w:hRule="atLeast"/>
        </w:trPr>
        <w:tc>
          <w:tcPr>
            <w:tcW w:w="993"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tcBorders>
              <w:top w:val="nil"/>
              <w:left w:val="nil"/>
              <w:bottom w:val="single" w:color="auto"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档案管理</w:t>
            </w:r>
          </w:p>
        </w:tc>
        <w:tc>
          <w:tcPr>
            <w:tcW w:w="6946" w:type="dxa"/>
            <w:tcBorders>
              <w:top w:val="single" w:color="auto" w:sz="8" w:space="0"/>
              <w:left w:val="nil"/>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支持患者基本信息手工建档；</w:t>
            </w:r>
            <w:r>
              <w:rPr>
                <w:rFonts w:hint="eastAsia" w:ascii="宋体" w:hAnsi="宋体" w:cs="宋体"/>
                <w:color w:val="FF0000"/>
                <w:kern w:val="0"/>
                <w:sz w:val="18"/>
                <w:szCs w:val="18"/>
              </w:rPr>
              <w:br w:type="textWrapping"/>
            </w:r>
            <w:r>
              <w:rPr>
                <w:rFonts w:hint="eastAsia" w:ascii="宋体" w:hAnsi="宋体" w:cs="宋体"/>
                <w:color w:val="000000"/>
                <w:kern w:val="0"/>
                <w:sz w:val="18"/>
                <w:szCs w:val="18"/>
              </w:rPr>
              <w:t>支持患者门诊建档和复诊建档；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支持患者基本信息和门诊记录的编辑和删除；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支持按门诊号、患者姓名和门诊日期查询患者档案。</w:t>
            </w:r>
          </w:p>
        </w:tc>
      </w:tr>
      <w:tr>
        <w:tblPrEx>
          <w:tblCellMar>
            <w:top w:w="0" w:type="dxa"/>
            <w:left w:w="108" w:type="dxa"/>
            <w:bottom w:w="0" w:type="dxa"/>
            <w:right w:w="108" w:type="dxa"/>
          </w:tblCellMar>
        </w:tblPrEx>
        <w:trPr>
          <w:trHeight w:val="96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营养评估</w:t>
            </w:r>
          </w:p>
        </w:tc>
        <w:tc>
          <w:tcPr>
            <w:tcW w:w="992" w:type="dxa"/>
            <w:vMerge w:val="restart"/>
            <w:tcBorders>
              <w:top w:val="nil"/>
              <w:left w:val="nil"/>
              <w:bottom w:val="nil"/>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体格检查</w:t>
            </w: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儿童体格相关项目包含：身高、体重、BMI（自动计算）、头围、上臂围、腰围、臀围、腰臀比（自动计算）、血压、黑棘皮征、阴茎指数、睾丸容积、B超、综合评价；系统自动生成身高评价、体重评价、身高别体重评价、BMI评价、头围评价、上臂围评价等。</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nil"/>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支持生成儿童生长发育曲线图（WHO2006和国标），展示儿童历次体格变化趋势，方便营养医师跟踪观察；图表支持打印。</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nil"/>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支持生成体格检查报告。</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single" w:color="auto" w:sz="8" w:space="0"/>
              <w:left w:val="nil"/>
              <w:bottom w:val="single" w:color="000000"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生化评估</w:t>
            </w:r>
          </w:p>
        </w:tc>
        <w:tc>
          <w:tcPr>
            <w:tcW w:w="6946" w:type="dxa"/>
            <w:tcBorders>
              <w:top w:val="single" w:color="auto" w:sz="8" w:space="0"/>
              <w:left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生化评估指标包含：血常规、电解质、血糖、血脂、肝功能、肾功能、凝血功能、维生素、淀粉酶、脂肪酶、乳糜定性、血沉、血氨、铁蛋白、24小时尿检、甲状腺功能、炎症因子、体液免疫、细胞免疫等。</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支持手动添加生化检查指标。</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支持生成生化评估报告。</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营养素设置</w:t>
            </w:r>
          </w:p>
        </w:tc>
        <w:tc>
          <w:tcPr>
            <w:tcW w:w="6946" w:type="dxa"/>
            <w:tcBorders>
              <w:top w:val="nil"/>
              <w:left w:val="nil"/>
              <w:bottom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可按患者个体情况，依据中国居民膳食营养素参考摄入量、Harris-Benedict(HB)公式、Schofield法、WHO方程式四种方法自动生成全日营养素摄入推荐量（能量、三大营养素、膳食纤维、维生素和矿物质）。</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支持根据患者个体情况个性化调整营养素推荐量。</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4" w:space="0"/>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支持复制过去已经制定的个性化营养素推荐量。</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膳食调查</w:t>
            </w:r>
          </w:p>
        </w:tc>
        <w:tc>
          <w:tcPr>
            <w:tcW w:w="69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系统支持频度法、精确法两种膳食调查方法。</w:t>
            </w:r>
          </w:p>
        </w:tc>
      </w:tr>
      <w:tr>
        <w:tblPrEx>
          <w:tblCellMar>
            <w:top w:w="0" w:type="dxa"/>
            <w:left w:w="108" w:type="dxa"/>
            <w:bottom w:w="0" w:type="dxa"/>
            <w:right w:w="108" w:type="dxa"/>
          </w:tblCellMar>
        </w:tblPrEx>
        <w:trPr>
          <w:trHeight w:val="128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患者一日或多日的饮食情况，选择对应餐次并在系统提供的食物库或菜谱库中录入对应食物种类和克重，系统自动计算患者平均每日所摄入的营养素（能量、三大营养素、维生素、矿物质、氨基酸、能量来源、脂肪来源、蛋白质来源）并与中国居民膳食营养素参考摄入量进行比对分析，自动将偏离值较大的营养素用不同颜色进行标记，方便营养医师查看；自动给出营养建议。</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系统内置中国食物成分表2002版、2004版、2009版和2018版；提供各类食物种类近2500余种；可自定义添加食物。</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系统内置菜谱库，提供8大菜系，近2000种菜谱；可自定义添加菜谱。</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食物库和菜谱库支持分类查找、关键字检索、助记码检索等多种检索方法。</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支持生成膳食调查报告</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single" w:color="auto" w:sz="8" w:space="0"/>
              <w:bottom w:val="nil"/>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诊断与处理</w:t>
            </w:r>
          </w:p>
        </w:tc>
        <w:tc>
          <w:tcPr>
            <w:tcW w:w="6946" w:type="dxa"/>
            <w:tcBorders>
              <w:top w:val="single" w:color="auto" w:sz="4" w:space="0"/>
              <w:left w:val="nil"/>
              <w:bottom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根据体格检查和生化评估情况对儿童进行诊断（营养性疾病、传染性疾病、常见疾病）及处理方案制定；处理方案包含：用药情况、生活方式和营养建议。</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nil"/>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生活方式支持自定义模版功能。</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nil"/>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4" w:space="0"/>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支持系统自动生成对应疾病针对的营养建议及婴儿喂养指导（0-12月龄）。</w:t>
            </w:r>
          </w:p>
        </w:tc>
      </w:tr>
      <w:tr>
        <w:tblPrEx>
          <w:tblCellMar>
            <w:top w:w="0" w:type="dxa"/>
            <w:left w:w="108" w:type="dxa"/>
            <w:bottom w:w="0" w:type="dxa"/>
            <w:right w:w="108" w:type="dxa"/>
          </w:tblCellMar>
        </w:tblPrEx>
        <w:trPr>
          <w:trHeight w:val="32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营养支持</w:t>
            </w:r>
          </w:p>
        </w:tc>
        <w:tc>
          <w:tcPr>
            <w:tcW w:w="992" w:type="dxa"/>
            <w:vMerge w:val="restart"/>
            <w:tcBorders>
              <w:top w:val="single" w:color="auto" w:sz="8" w:space="0"/>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运动管理</w:t>
            </w: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运动调查：根据患者身高体重及每天运动项目和运动时长，计算能量消耗（kcal）。</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根据患者个体情况及每月减重计划制定每日减重处方，每日减重处方包含：每日运动计划和膳食摄入调整；依照每日减重处方及所选运动项目系统自动计算运动时长。</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系统内置家务活动、步行、跑步、球类运动、跳绳、游泳、自行车等多个类别，50余种运动项目；每种运动均给出标准的运动消耗。</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支持生成运动处方报告。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食谱制定</w:t>
            </w: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系统支持精确法、交换份法两种食谱制定方法。</w:t>
            </w:r>
          </w:p>
        </w:tc>
      </w:tr>
      <w:tr>
        <w:tblPrEx>
          <w:tblCellMar>
            <w:top w:w="0" w:type="dxa"/>
            <w:left w:w="108" w:type="dxa"/>
            <w:bottom w:w="0" w:type="dxa"/>
            <w:right w:w="108" w:type="dxa"/>
          </w:tblCellMar>
        </w:tblPrEx>
        <w:trPr>
          <w:trHeight w:val="128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营养医师可根据患者个体情况，运用系统内置的食物库和菜谱库有针对性的制定1-7日营养食谱；系统将根据所选餐次、食物和菜谱种类和克重，自动进行营养分析（能量、三大营养素、维生素、矿物质、氨基酸、能量来源、脂肪来源、蛋白质来源和营养素餐次比）并与中国居民膳食营养素参考摄入量进行比对分析，自动将偏离值较大的营养素用不同颜色进行标记，方便营养医师查看；自动给出营养建议。</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系统根据儿童疾病分类和不同年龄段儿童预设300余套经典食谱；可自定义添加经典食谱。</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系统内置中国食物成分表2002版、2004版、2009版和2018版；提供各类食物种类近2500余种；可自定义添加食物。</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系统内置菜谱库，提供8大菜系，近2000种菜谱；可自定义添加菜谱。</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食物库和菜谱库支持分类查找、关键字检索、助记码检索等多种检索方法。</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支持生成营养分析报告</w:t>
            </w:r>
          </w:p>
        </w:tc>
      </w:tr>
      <w:tr>
        <w:tblPrEx>
          <w:tblCellMar>
            <w:top w:w="0" w:type="dxa"/>
            <w:left w:w="108" w:type="dxa"/>
            <w:bottom w:w="0" w:type="dxa"/>
            <w:right w:w="108" w:type="dxa"/>
          </w:tblCellMar>
        </w:tblPrEx>
        <w:trPr>
          <w:trHeight w:val="32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营养指导原则与建议</w:t>
            </w:r>
          </w:p>
        </w:tc>
        <w:tc>
          <w:tcPr>
            <w:tcW w:w="992" w:type="dxa"/>
            <w:vMerge w:val="restart"/>
            <w:tcBorders>
              <w:top w:val="nil"/>
              <w:left w:val="nil"/>
              <w:bottom w:val="nil"/>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数据监测</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支持根据疾病自动生成对应的营养指导原则。</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nil"/>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支持根据个体情况制定个性化的营养指导原则。</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auto" w:sz="4"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支持营养指导原则模版功能。</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数据查询与导出</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数据查询包含：患者档案查询、门诊记录查询、体格评估查询、生化评估查询、膳食评估（精确法）查询、膳食评估（精确法）明细查询、膳食评估（频度法）查询、食谱制定查询查询。</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auto" w:sz="4"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支持按时间段、门诊号、患者姓名和疾病类型查询。</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auto" w:sz="4"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支持查询数据的导出和打印。</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single" w:color="auto" w:sz="4" w:space="0"/>
              <w:left w:val="single" w:color="auto" w:sz="4" w:space="0"/>
              <w:bottom w:val="single" w:color="000000"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综合打印</w:t>
            </w:r>
          </w:p>
        </w:tc>
        <w:tc>
          <w:tcPr>
            <w:tcW w:w="6946" w:type="dxa"/>
            <w:tcBorders>
              <w:top w:val="single" w:color="auto" w:sz="4" w:space="0"/>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系统自动列出所选患者历次门诊记录，可根据日期选择需要打印的门诊报告。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系统支持标准报告、简易报告两种报告模版。</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系统自动生成标准的营养门诊报告，包含：患者基本信息、体格检查、生化评估、膳食调查、运动管理、食谱制定等当次门诊有记录的信息。</w:t>
            </w:r>
          </w:p>
        </w:tc>
      </w:tr>
      <w:tr>
        <w:tblPrEx>
          <w:tblCellMar>
            <w:top w:w="0" w:type="dxa"/>
            <w:left w:w="108" w:type="dxa"/>
            <w:bottom w:w="0" w:type="dxa"/>
            <w:right w:w="108" w:type="dxa"/>
          </w:tblCellMar>
        </w:tblPrEx>
        <w:trPr>
          <w:trHeight w:val="96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在报告中附加“含钙丰富的食物”、“含铁丰富的食物”、“含锌丰富的食物”、“含叶酸丰富的食物”、“含嘌呤较低的食物”、“含嘌呤较高的食物”、“含n-3脂肪酸较多的食物”、“常见食物GI”、“食物交换份表”等。</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支持自定义报告打印项目。</w:t>
            </w:r>
          </w:p>
        </w:tc>
      </w:tr>
      <w:tr>
        <w:tblPrEx>
          <w:tblCellMar>
            <w:top w:w="0" w:type="dxa"/>
            <w:left w:w="108" w:type="dxa"/>
            <w:bottom w:w="0" w:type="dxa"/>
            <w:right w:w="108" w:type="dxa"/>
          </w:tblCellMar>
        </w:tblPrEx>
        <w:trPr>
          <w:trHeight w:val="320" w:hRule="atLeast"/>
        </w:trPr>
        <w:tc>
          <w:tcPr>
            <w:tcW w:w="993" w:type="dxa"/>
            <w:vMerge w:val="restart"/>
            <w:tcBorders>
              <w:top w:val="nil"/>
              <w:left w:val="single" w:color="auto" w:sz="8" w:space="0"/>
              <w:bottom w:val="single" w:color="000000" w:sz="8" w:space="0"/>
              <w:right w:val="single" w:color="auto" w:sz="4"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系统管理</w:t>
            </w:r>
          </w:p>
        </w:tc>
        <w:tc>
          <w:tcPr>
            <w:tcW w:w="992" w:type="dxa"/>
            <w:vMerge w:val="restart"/>
            <w:tcBorders>
              <w:top w:val="nil"/>
              <w:left w:val="single" w:color="auto" w:sz="4" w:space="0"/>
              <w:bottom w:val="single" w:color="000000"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系统管理</w:t>
            </w: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用户列表，可自定义系统用户的账号、密码等基本信息。</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基础库维护，用户可在基础库维护中对食物库、菜谱库、生化检查项目、能量消耗活动、疾病相关营养指导原则、营养素饮食控制、病人饮食指导的基本数据进行维护。</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数据库维护，可以对数据库进行备份和还原。</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个人资料，使用人可对自己的基本信息进行维护。</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密码修改，使用人可对账号密码进行维护。</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单位信息，可对医疗机构的基本信息进行记录。</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4" w:space="0"/>
              <w:bottom w:val="single" w:color="auto" w:sz="4"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系统参数，可设置儿童生长发育标准、膳食调查、食谱制定、曲线图及综合报告进行设置。</w:t>
            </w:r>
          </w:p>
        </w:tc>
      </w:tr>
    </w:tbl>
    <w:p/>
    <w:p>
      <w:pPr>
        <w:pStyle w:val="5"/>
        <w:rPr>
          <w:rFonts w:hint="default" w:eastAsia="宋体"/>
          <w:lang w:val="en-US" w:eastAsia="zh-CN"/>
        </w:rPr>
      </w:pPr>
      <w:r>
        <w:rPr>
          <w:rFonts w:hint="eastAsia"/>
          <w:lang w:val="en-US" w:eastAsia="zh-CN"/>
        </w:rPr>
        <w:t>2.</w:t>
      </w:r>
      <w:r>
        <w:rPr>
          <w:rFonts w:hint="eastAsia" w:ascii="宋体" w:hAnsi="宋体"/>
          <w:color w:val="000000"/>
          <w:sz w:val="24"/>
          <w:szCs w:val="24"/>
        </w:rPr>
        <w:t>营养门诊信息系统</w:t>
      </w:r>
      <w:r>
        <w:rPr>
          <w:rFonts w:hint="eastAsia" w:ascii="宋体" w:hAnsi="宋体"/>
          <w:color w:val="000000"/>
          <w:sz w:val="24"/>
          <w:szCs w:val="24"/>
          <w:lang w:val="en-US" w:eastAsia="zh-CN"/>
        </w:rPr>
        <w:t>(妇女版)</w:t>
      </w:r>
    </w:p>
    <w:tbl>
      <w:tblPr>
        <w:tblStyle w:val="8"/>
        <w:tblW w:w="8931" w:type="dxa"/>
        <w:tblInd w:w="-176" w:type="dxa"/>
        <w:tblLayout w:type="autofit"/>
        <w:tblCellMar>
          <w:top w:w="0" w:type="dxa"/>
          <w:left w:w="108" w:type="dxa"/>
          <w:bottom w:w="0" w:type="dxa"/>
          <w:right w:w="108" w:type="dxa"/>
        </w:tblCellMar>
      </w:tblPr>
      <w:tblGrid>
        <w:gridCol w:w="993"/>
        <w:gridCol w:w="992"/>
        <w:gridCol w:w="6946"/>
      </w:tblGrid>
      <w:tr>
        <w:tblPrEx>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ind w:firstLine="0" w:firstLineChars="0"/>
              <w:jc w:val="center"/>
              <w:rPr>
                <w:rFonts w:ascii="宋体" w:hAnsi="宋体" w:cs="宋体"/>
                <w:b/>
                <w:bCs/>
                <w:color w:val="FFFFFF"/>
                <w:kern w:val="0"/>
                <w:sz w:val="18"/>
                <w:szCs w:val="18"/>
              </w:rPr>
            </w:pPr>
            <w:r>
              <w:rPr>
                <w:rFonts w:hint="eastAsia" w:ascii="宋体" w:hAnsi="宋体" w:cs="宋体"/>
                <w:b/>
                <w:bCs/>
                <w:color w:val="FFFFFF"/>
                <w:kern w:val="0"/>
                <w:sz w:val="18"/>
                <w:szCs w:val="18"/>
              </w:rPr>
              <w:t>系统模块</w:t>
            </w:r>
          </w:p>
        </w:tc>
        <w:tc>
          <w:tcPr>
            <w:tcW w:w="992"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ind w:firstLine="0" w:firstLineChars="0"/>
              <w:jc w:val="center"/>
              <w:rPr>
                <w:rFonts w:hint="eastAsia" w:ascii="宋体" w:hAnsi="宋体" w:cs="宋体"/>
                <w:b/>
                <w:bCs/>
                <w:color w:val="FFFFFF"/>
                <w:kern w:val="0"/>
                <w:sz w:val="18"/>
                <w:szCs w:val="18"/>
              </w:rPr>
            </w:pPr>
            <w:r>
              <w:rPr>
                <w:rFonts w:hint="eastAsia" w:ascii="宋体" w:hAnsi="宋体" w:cs="宋体"/>
                <w:b/>
                <w:bCs/>
                <w:color w:val="FFFFFF"/>
                <w:kern w:val="0"/>
                <w:sz w:val="18"/>
                <w:szCs w:val="18"/>
              </w:rPr>
              <w:t>项目</w:t>
            </w:r>
          </w:p>
        </w:tc>
        <w:tc>
          <w:tcPr>
            <w:tcW w:w="6946"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ind w:firstLine="0" w:firstLineChars="0"/>
              <w:jc w:val="center"/>
              <w:rPr>
                <w:rFonts w:hint="eastAsia" w:ascii="宋体" w:hAnsi="宋体" w:cs="宋体"/>
                <w:b/>
                <w:bCs/>
                <w:color w:val="FFFFFF"/>
                <w:kern w:val="0"/>
                <w:sz w:val="18"/>
                <w:szCs w:val="18"/>
              </w:rPr>
            </w:pPr>
            <w:r>
              <w:rPr>
                <w:rFonts w:hint="eastAsia" w:ascii="宋体" w:hAnsi="宋体" w:cs="宋体"/>
                <w:b/>
                <w:bCs/>
                <w:color w:val="FFFFFF"/>
                <w:kern w:val="0"/>
                <w:sz w:val="18"/>
                <w:szCs w:val="18"/>
              </w:rPr>
              <w:t>功能明细</w:t>
            </w:r>
          </w:p>
        </w:tc>
      </w:tr>
      <w:tr>
        <w:tblPrEx>
          <w:tblCellMar>
            <w:top w:w="0" w:type="dxa"/>
            <w:left w:w="108" w:type="dxa"/>
            <w:bottom w:w="0" w:type="dxa"/>
            <w:right w:w="108" w:type="dxa"/>
          </w:tblCellMar>
        </w:tblPrEx>
        <w:trPr>
          <w:trHeight w:val="360" w:hRule="atLeast"/>
        </w:trPr>
        <w:tc>
          <w:tcPr>
            <w:tcW w:w="993"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门诊档案</w:t>
            </w:r>
          </w:p>
        </w:tc>
        <w:tc>
          <w:tcPr>
            <w:tcW w:w="992" w:type="dxa"/>
            <w:tcBorders>
              <w:top w:val="single" w:color="auto" w:sz="4" w:space="0"/>
              <w:left w:val="nil"/>
              <w:bottom w:val="single" w:color="auto"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基本信息档案</w:t>
            </w:r>
          </w:p>
        </w:tc>
        <w:tc>
          <w:tcPr>
            <w:tcW w:w="6946" w:type="dxa"/>
            <w:tcBorders>
              <w:top w:val="single" w:color="auto" w:sz="4" w:space="0"/>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包含患者姓名、性别（仅限女性）、出生日期、身份证号码、联系电话、家庭地址、邮编等信息。</w:t>
            </w:r>
          </w:p>
        </w:tc>
      </w:tr>
      <w:tr>
        <w:tblPrEx>
          <w:tblCellMar>
            <w:top w:w="0" w:type="dxa"/>
            <w:left w:w="108" w:type="dxa"/>
            <w:bottom w:w="0" w:type="dxa"/>
            <w:right w:w="108" w:type="dxa"/>
          </w:tblCellMar>
        </w:tblPrEx>
        <w:trPr>
          <w:trHeight w:val="340" w:hRule="atLeast"/>
        </w:trPr>
        <w:tc>
          <w:tcPr>
            <w:tcW w:w="993"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tcBorders>
              <w:top w:val="nil"/>
              <w:left w:val="nil"/>
              <w:bottom w:val="single" w:color="auto"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营养门诊记录</w:t>
            </w: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包含患者门诊号、门诊日期、年龄（自动计算）、劳动强度、现病史、配餐标准和备注等信息。</w:t>
            </w:r>
          </w:p>
        </w:tc>
      </w:tr>
      <w:tr>
        <w:tblPrEx>
          <w:tblCellMar>
            <w:top w:w="0" w:type="dxa"/>
            <w:left w:w="108" w:type="dxa"/>
            <w:bottom w:w="0" w:type="dxa"/>
            <w:right w:w="108" w:type="dxa"/>
          </w:tblCellMar>
        </w:tblPrEx>
        <w:trPr>
          <w:trHeight w:val="1331" w:hRule="atLeast"/>
        </w:trPr>
        <w:tc>
          <w:tcPr>
            <w:tcW w:w="993"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tcBorders>
              <w:top w:val="nil"/>
              <w:left w:val="nil"/>
              <w:bottom w:val="single" w:color="auto"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档案管理</w:t>
            </w: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支持患者基本信息手工建档；</w:t>
            </w:r>
            <w:r>
              <w:rPr>
                <w:rFonts w:hint="eastAsia" w:ascii="宋体" w:hAnsi="宋体" w:cs="宋体"/>
                <w:color w:val="FF0000"/>
                <w:kern w:val="0"/>
                <w:sz w:val="18"/>
                <w:szCs w:val="18"/>
              </w:rPr>
              <w:br w:type="textWrapping"/>
            </w:r>
            <w:r>
              <w:rPr>
                <w:rFonts w:hint="eastAsia" w:ascii="宋体" w:hAnsi="宋体" w:cs="宋体"/>
                <w:color w:val="000000"/>
                <w:kern w:val="0"/>
                <w:sz w:val="18"/>
                <w:szCs w:val="18"/>
              </w:rPr>
              <w:t>支持患者门诊建档和复诊建档；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支持患者基本信息和门诊记录的编辑和删除；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支持按门诊号、患者姓名和门诊日期查询患者档案。</w:t>
            </w:r>
          </w:p>
        </w:tc>
      </w:tr>
      <w:tr>
        <w:tblPrEx>
          <w:tblCellMar>
            <w:top w:w="0" w:type="dxa"/>
            <w:left w:w="108" w:type="dxa"/>
            <w:bottom w:w="0" w:type="dxa"/>
            <w:right w:w="108" w:type="dxa"/>
          </w:tblCellMar>
        </w:tblPrEx>
        <w:trPr>
          <w:trHeight w:val="96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营养评估</w:t>
            </w: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体格检查</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常规体格检查项目包含：体重、身高、BMI（自动计算）、平时体重、体脂百分比、平时体重、腰围、臀围、腰臀比（自动计算）、上臂围、上臂肌围、大腿围、三头肌皮褶厚度、腹部皮下脂肪皮褶厚度、肩胛下部皮褶厚度、额前上脊、髂嵴、血压、体温、呼吸频率、静息心率、握力等。</w:t>
            </w:r>
          </w:p>
        </w:tc>
      </w:tr>
      <w:tr>
        <w:tblPrEx>
          <w:tblCellMar>
            <w:top w:w="0" w:type="dxa"/>
            <w:left w:w="108" w:type="dxa"/>
            <w:bottom w:w="0" w:type="dxa"/>
            <w:right w:w="108" w:type="dxa"/>
          </w:tblCellMar>
        </w:tblPrEx>
        <w:trPr>
          <w:trHeight w:val="96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儿童体格相关项目包含：体重、身高、BMI（自动计算）、头围、胸围、坐高；系统自动生成体重评价、身高评价、身高别体重评价、体重增量（复诊）、身高增量（复诊）、头围增量（复诊）、腰围增量（复诊）、臀围增量（复诊）、体重增速评价（复诊）、身高增速评价（复诊）、头围增速评价（复诊）、综合体格评价等。</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孕妇相关项目包含：末次月经、孕期（自动计算）、孕周（自动计算)、宫高、腹围、孕前体重、孕次、产次、胎儿情况。</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支持生成儿童生长发育曲线图（WHO2006和国标），展示儿童历次体格变化趋势，方便营养医师跟踪观察；图表支持打印。</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支持生成孕妇体重增长曲线图（中国妇女妊娠期体重监测与评价标准2021版），展示孕妇孕期历次体格变化趋势，方便营养医师跟踪观察；图表支持打印。</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支持生成体格检查报告。</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生化评估</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生化评估指标包含：血常规、电解质、血糖、血脂、肝功能、肾功能、凝血功能、维生素、淀粉酶、脂肪酶、乳糜定性、血沉、血氨、铁蛋白、24小时尿检、甲状腺功能、炎症因子、体液免疫、细胞免疫等。</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支持手动添加生化检查指标。</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支持生成生化评估报告。</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营养素设置</w:t>
            </w:r>
          </w:p>
        </w:tc>
        <w:tc>
          <w:tcPr>
            <w:tcW w:w="6946" w:type="dxa"/>
            <w:tcBorders>
              <w:top w:val="single" w:color="auto" w:sz="4" w:space="0"/>
              <w:left w:val="nil"/>
              <w:bottom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可按患者个体情况，依据中国居民膳食营养素参考摄入量、Harris-Benedict(HB)公式、Schofield法、WHO方程式四种方法自动生成全日营养素摄入推荐量（能量、三大营养素、膳食纤维、维生素和矿物质）。</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nil"/>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支持根据患者个体情况个性化调整营养素推荐量。</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nil"/>
              <w:bottom w:val="single" w:color="auto" w:sz="4" w:space="0"/>
              <w:right w:val="single" w:color="auto" w:sz="8"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支持复制过去已经制定的个性化营养素推荐量。</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营养缺乏体征评价</w:t>
            </w: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根据全身、皮肤及皮下组织、头发、脸、眼、唇、口腔、骨、指甲、神经系统、循环系统方面症状判断对应可能缺乏的营养素。</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根据所选症状生成营养缺乏体征评价报告。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能量消耗调查</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根据患者的身高、体重以及24小时内所有的活动项目和时长为记录标准，计算一天所消耗的能量（kcal）。</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系统包含日常生活、家务、运动、舞蹈等80余种运动项目；每种运动均给出标准的运动消耗。</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能量消耗调查报告。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营养筛查</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营养风险筛查NRS2002量表，包含：疾病严重程度评分、营养状态评分、年龄对营养风险影响的评分。</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主观全面评定SGA，包含：体重丢失评价、饮食变化评价、胃肠道症状评价、活动能力评价、疾病和相关营养素需求评价、体格评价。</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人体营养评价BCA，包含：体重丢失评价、肱三头肌皮褶厚度评价、上臂肌围评价、肌酐身高指数评价、血清白蛋白评价、血清前白蛋白评价、淋巴细胞总数评价。</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微型营养评定MNA-SF，包含：饮食变化评价、体重丢失评价、活动能力评价、神经精神疾病评价、体质指数评价。</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支持计算筛查结果。</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膳食调查</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系统支持频度法、精确法两种膳食调查方法。</w:t>
            </w:r>
          </w:p>
        </w:tc>
      </w:tr>
      <w:tr>
        <w:tblPrEx>
          <w:tblCellMar>
            <w:top w:w="0" w:type="dxa"/>
            <w:left w:w="108" w:type="dxa"/>
            <w:bottom w:w="0" w:type="dxa"/>
            <w:right w:w="108" w:type="dxa"/>
          </w:tblCellMar>
        </w:tblPrEx>
        <w:trPr>
          <w:trHeight w:val="128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患者一日或多日的饮食情况，选择对应餐次并在系统提供的食物库或菜谱库中录入对应食物种类和克重，系统自动计算患者平均每日所摄入的营养素（能量、三大营养素、维生素、矿物质、氨基酸、能量来源、脂肪来源、蛋白质来源）并与中国居民膳食营养素参考摄入量进行比对分析，自动将偏离值较大的营养素用不同颜色进行标记，方便营养医师查看；自动给出营养建议。</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系统内置中国食物成分表2002版、2004版、2009版和2018版；提供各类食物种类近2500余种；可自定义添加食物。</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系统内置菜谱库，提供8大菜系，近2000种菜谱；可自定义添加菜谱。</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食物库和菜谱库支持分类查找、关键字检索、助记码检索等多种检索方法。</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支持生成膳食调查报告</w:t>
            </w:r>
          </w:p>
        </w:tc>
      </w:tr>
      <w:tr>
        <w:tblPrEx>
          <w:tblCellMar>
            <w:top w:w="0" w:type="dxa"/>
            <w:left w:w="108" w:type="dxa"/>
            <w:bottom w:w="0" w:type="dxa"/>
            <w:right w:w="108" w:type="dxa"/>
          </w:tblCellMar>
        </w:tblPrEx>
        <w:trPr>
          <w:trHeight w:val="32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营养支持</w:t>
            </w: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运动管理</w:t>
            </w: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运动调查：根据患者身高体重及每天运动项目和运动时长，计算能量消耗（kcal）。</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根据患者个体情况及每月减重计划制定每日减重处方，每日减重处方包含：每日运动计划和膳食摄入调整；依照每日减重处方及所选运动项目系统自动计算运动时长。</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系统内置家务活动、步行、跑步、球类运动、跳绳、游泳、自行车等多个类别，50余种运动项目；每种运动均给出标准的运动消耗。</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支持生成运动处方报告。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食谱制定</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系统支持精确法、交换份法两种食谱制定方法。</w:t>
            </w:r>
          </w:p>
        </w:tc>
      </w:tr>
      <w:tr>
        <w:tblPrEx>
          <w:tblCellMar>
            <w:top w:w="0" w:type="dxa"/>
            <w:left w:w="108" w:type="dxa"/>
            <w:bottom w:w="0" w:type="dxa"/>
            <w:right w:w="108" w:type="dxa"/>
          </w:tblCellMar>
        </w:tblPrEx>
        <w:trPr>
          <w:trHeight w:val="128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营养医师可根据患者个体情况，运用系统内置的食物库和菜谱库有针对性的制定1-7日营养食谱；系统将根据所选餐次、食物和菜谱种类和克重，自动进行营养分析（能量、三大营养素、维生素、矿物质、氨基酸、能量来源、脂肪来源、蛋白质来源和营养素餐次比）并与中国居民膳食营养素参考摄入量进行比对分析，自动将偏离值较大的营养素用不同颜色进行标记，方便营养医师查看；自动给出营养建议。</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系统支持根据患者个体情况自动生成1-7日食谱。</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系统根据人群分类和疾病分类预设1200余套经典食谱；可自定义添加经典食谱。</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系统内置中国食物成分表2002版、2004版、2009版和2018版；提供各类食物种类近2500余种；可自定义添加食物。</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系统内置菜谱库，提供8大菜系，近2000种菜谱；可自定义添加菜谱。</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食物库和菜谱库支持分类查找、关键字检索、助记码检索等多种检索方法。</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支持生成营养分析报告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营养处方</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支持营养医师在系统中开具肠内营养处方。</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支持根据处方中使用的肠内营养制剂种类和用量自动计算处方的营养素（能量、三大营养素、维生素、矿物质、氨基酸）。</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支持在后台自定义添加和维护肠内营养制剂种类和营养素含量。</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支持肠内处方的打印和导出。</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中医食疗方管理</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营养医师可根据患者个体情况开具中西医食疗方。</w:t>
            </w:r>
          </w:p>
        </w:tc>
      </w:tr>
      <w:tr>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系统内置400余种中草药数据库，方便营养师调用。</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系统内置近1400种中西医食疗方，方便营养师调用。</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支持在后台自定义添加和维护食疗方。</w:t>
            </w:r>
          </w:p>
        </w:tc>
      </w:tr>
      <w:tr>
        <w:tblPrEx>
          <w:tblCellMar>
            <w:top w:w="0" w:type="dxa"/>
            <w:left w:w="108" w:type="dxa"/>
            <w:bottom w:w="0" w:type="dxa"/>
            <w:right w:w="108" w:type="dxa"/>
          </w:tblCellMar>
        </w:tblPrEx>
        <w:trPr>
          <w:trHeight w:val="32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营养指导原则与建议</w:t>
            </w:r>
          </w:p>
        </w:tc>
        <w:tc>
          <w:tcPr>
            <w:tcW w:w="992" w:type="dxa"/>
            <w:vMerge w:val="restart"/>
            <w:tcBorders>
              <w:top w:val="nil"/>
              <w:left w:val="nil"/>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营养建议</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支持根据疾病自动生成对应的营养指导原则。</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支持根据个体情况制定个性化的营养指导原则。</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支持营养指导原则模版功能。</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nil"/>
              <w:left w:val="nil"/>
              <w:bottom w:val="nil"/>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数据监测</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数据监测包含体格指标、生化指标。</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nil"/>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能过根据历次门诊数据的动态监测曲线图，实现对门诊患者进行动态监测管理的功能。</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nil"/>
              <w:bottom w:val="nil"/>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动态监测曲线图可打印和导出</w:t>
            </w:r>
          </w:p>
        </w:tc>
      </w:tr>
      <w:tr>
        <w:tblPrEx>
          <w:tblCellMar>
            <w:top w:w="0" w:type="dxa"/>
            <w:left w:w="108" w:type="dxa"/>
            <w:bottom w:w="0" w:type="dxa"/>
            <w:right w:w="108" w:type="dxa"/>
          </w:tblCellMar>
        </w:tblPrEx>
        <w:trPr>
          <w:trHeight w:val="96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single" w:color="auto" w:sz="8" w:space="0"/>
              <w:left w:val="nil"/>
              <w:bottom w:val="nil"/>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数据查询与导出</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数据查询包含：患者档案查询、门诊记录查询、体格评估查询、生化评估查询、体征评估查询、膳食评估（精确法）查询、膳食评估（精确法）明细查询、膳食评估（频度法）查询、能量消耗调查查询、食谱制定查询、食疗处方查询和中草药查询。</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nil"/>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支持按时间段、门诊号、患者姓名和疾病类型查询。</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nil"/>
              <w:bottom w:val="nil"/>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支持查询数据的导出和打印。</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restart"/>
            <w:tcBorders>
              <w:top w:val="single" w:color="auto" w:sz="8" w:space="0"/>
              <w:left w:val="single" w:color="auto" w:sz="8" w:space="0"/>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综合打印</w:t>
            </w: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系统自动列出所选患者历次门诊记录，可根据日期选择需要打印的门诊报告。</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single" w:color="auto" w:sz="4" w:space="0"/>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系统支持标准报告、简易报告两种报告模版。</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系统自动生成标准的营养门诊报告，包含：患者基本信息、体格检查、生化评估、营养缺乏体征评价、能量消耗调查、营养筛查、膳食调查、运动管理、食谱制定、营养处方、营养建议等当次门诊有记录的信息。</w:t>
            </w:r>
          </w:p>
        </w:tc>
      </w:tr>
      <w:tr>
        <w:tblPrEx>
          <w:tblCellMar>
            <w:top w:w="0" w:type="dxa"/>
            <w:left w:w="108" w:type="dxa"/>
            <w:bottom w:w="0" w:type="dxa"/>
            <w:right w:w="108" w:type="dxa"/>
          </w:tblCellMar>
        </w:tblPrEx>
        <w:trPr>
          <w:trHeight w:val="96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支持在报告中附加“含钙丰富的食物”、“含铁丰富的食物”、“含锌丰富的食物”、“含叶酸丰富的食物”、“含嘌呤较低的食物”、“含嘌呤较高的食物”、“含n-3脂肪酸较多的食物”、“常见食物GI”、“食物交换份表”等。</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8"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支持自定义报告打印项目。</w:t>
            </w:r>
          </w:p>
        </w:tc>
      </w:tr>
      <w:tr>
        <w:tblPrEx>
          <w:tblCellMar>
            <w:top w:w="0" w:type="dxa"/>
            <w:left w:w="108" w:type="dxa"/>
            <w:bottom w:w="0" w:type="dxa"/>
            <w:right w:w="108" w:type="dxa"/>
          </w:tblCellMar>
        </w:tblPrEx>
        <w:trPr>
          <w:trHeight w:val="320" w:hRule="atLeast"/>
        </w:trPr>
        <w:tc>
          <w:tcPr>
            <w:tcW w:w="993" w:type="dxa"/>
            <w:vMerge w:val="restart"/>
            <w:tcBorders>
              <w:top w:val="nil"/>
              <w:left w:val="single" w:color="auto" w:sz="8" w:space="0"/>
              <w:bottom w:val="single" w:color="000000" w:sz="8" w:space="0"/>
              <w:right w:val="single" w:color="auto" w:sz="8" w:space="0"/>
            </w:tcBorders>
            <w:shd w:val="clear" w:color="auto" w:fill="auto"/>
            <w:noWrap/>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系统管理</w:t>
            </w:r>
          </w:p>
        </w:tc>
        <w:tc>
          <w:tcPr>
            <w:tcW w:w="992" w:type="dxa"/>
            <w:vMerge w:val="restart"/>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系统管理</w:t>
            </w: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用户列表，可自定义系统用户的账号、密码等基本信息。</w:t>
            </w:r>
          </w:p>
        </w:tc>
      </w:tr>
      <w:tr>
        <w:tblPrEx>
          <w:tblCellMar>
            <w:top w:w="0" w:type="dxa"/>
            <w:left w:w="108" w:type="dxa"/>
            <w:bottom w:w="0" w:type="dxa"/>
            <w:right w:w="108" w:type="dxa"/>
          </w:tblCellMar>
        </w:tblPrEx>
        <w:trPr>
          <w:trHeight w:val="6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基础库维护，用户可在基础库维护中对食物库、菜谱库、肠内营养制剂生化检查项目、能量消耗活动、疾病相关营养指导原则、营养素饮食控制、病人饮食指导、食疗方和中药库的基本数据进行维护。</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数据库维护，可以对数据库进行备份和还原。</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个人资料，使用人可对自己的基本信息进行维护。</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密码修改，使用人可对账号密码进行维护。</w:t>
            </w:r>
          </w:p>
        </w:tc>
      </w:tr>
      <w:tr>
        <w:tblPrEx>
          <w:tblCellMar>
            <w:top w:w="0" w:type="dxa"/>
            <w:left w:w="108" w:type="dxa"/>
            <w:bottom w:w="0" w:type="dxa"/>
            <w:right w:w="108" w:type="dxa"/>
          </w:tblCellMar>
        </w:tblPrEx>
        <w:trPr>
          <w:trHeight w:val="32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nil"/>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单位信息，可对医疗机构的基本信息进行记录。</w:t>
            </w:r>
          </w:p>
        </w:tc>
      </w:tr>
      <w:tr>
        <w:tblPrEx>
          <w:tblCellMar>
            <w:top w:w="0" w:type="dxa"/>
            <w:left w:w="108" w:type="dxa"/>
            <w:bottom w:w="0" w:type="dxa"/>
            <w:right w:w="108" w:type="dxa"/>
          </w:tblCellMar>
        </w:tblPrEx>
        <w:trPr>
          <w:trHeight w:val="340" w:hRule="atLeast"/>
        </w:trPr>
        <w:tc>
          <w:tcPr>
            <w:tcW w:w="993" w:type="dxa"/>
            <w:vMerge w:val="continue"/>
            <w:tcBorders>
              <w:top w:val="nil"/>
              <w:left w:val="single" w:color="auto" w:sz="8" w:space="0"/>
              <w:bottom w:val="single" w:color="000000" w:sz="8" w:space="0"/>
              <w:right w:val="single" w:color="auto" w:sz="8"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992" w:type="dxa"/>
            <w:vMerge w:val="continue"/>
            <w:tcBorders>
              <w:top w:val="nil"/>
              <w:left w:val="single" w:color="auto" w:sz="8" w:space="0"/>
              <w:bottom w:val="single" w:color="000000" w:sz="8" w:space="0"/>
              <w:right w:val="single" w:color="auto" w:sz="4" w:space="0"/>
            </w:tcBorders>
            <w:shd w:val="clear" w:color="auto" w:fill="auto"/>
            <w:noWrap w:val="0"/>
            <w:vAlign w:val="center"/>
          </w:tcPr>
          <w:p>
            <w:pPr>
              <w:ind w:firstLine="0" w:firstLineChars="0"/>
              <w:jc w:val="left"/>
              <w:rPr>
                <w:rFonts w:ascii="宋体" w:hAnsi="宋体" w:cs="宋体"/>
                <w:color w:val="000000"/>
                <w:kern w:val="0"/>
                <w:sz w:val="18"/>
                <w:szCs w:val="18"/>
              </w:rPr>
            </w:pPr>
          </w:p>
        </w:tc>
        <w:tc>
          <w:tcPr>
            <w:tcW w:w="6946" w:type="dxa"/>
            <w:tcBorders>
              <w:top w:val="nil"/>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系统参数，可设置儿童生长发育标准、膳食调查、食谱制定、曲线图及综合报告进行设置。</w:t>
            </w:r>
          </w:p>
        </w:tc>
      </w:tr>
    </w:tbl>
    <w:p>
      <w:pPr>
        <w:pStyle w:val="5"/>
        <w:rPr>
          <w:rFonts w:hint="default" w:eastAsia="宋体"/>
          <w:lang w:val="en-US" w:eastAsia="zh-CN"/>
        </w:rPr>
      </w:pPr>
    </w:p>
    <w:p>
      <w:pPr>
        <w:numPr>
          <w:ilvl w:val="0"/>
          <w:numId w:val="0"/>
        </w:numPr>
        <w:rPr>
          <w:b/>
          <w:bCs/>
        </w:rPr>
      </w:pPr>
      <w:r>
        <w:rPr>
          <w:rFonts w:hint="eastAsia"/>
          <w:b/>
          <w:bCs/>
          <w:lang w:val="en-US" w:eastAsia="zh-CN"/>
        </w:rPr>
        <w:t>四、</w:t>
      </w:r>
      <w:r>
        <w:rPr>
          <w:rFonts w:hint="eastAsia"/>
          <w:b/>
          <w:bCs/>
        </w:rPr>
        <w:t>项目总体技术要求及商务要求</w:t>
      </w:r>
    </w:p>
    <w:p>
      <w:pPr>
        <w:numPr>
          <w:ilvl w:val="0"/>
          <w:numId w:val="5"/>
        </w:numPr>
        <w:rPr>
          <w:b/>
          <w:bCs/>
        </w:rPr>
      </w:pPr>
      <w:r>
        <w:rPr>
          <w:rFonts w:hint="eastAsia"/>
          <w:b/>
          <w:bCs/>
        </w:rPr>
        <w:t>总体技术要求</w:t>
      </w:r>
    </w:p>
    <w:p>
      <w:r>
        <w:rPr>
          <w:rFonts w:hint="eastAsia" w:ascii="宋体" w:hAnsi="宋体" w:cs="宋体"/>
          <w:color w:val="000000"/>
          <w:szCs w:val="21"/>
        </w:rPr>
        <w:t>★1.</w:t>
      </w:r>
      <w:r>
        <w:rPr>
          <w:rFonts w:hint="eastAsia"/>
        </w:rPr>
        <w:t>中标</w:t>
      </w:r>
      <w:r>
        <w:rPr>
          <w:rFonts w:hint="eastAsia"/>
          <w:lang w:val="en-US" w:eastAsia="zh-CN"/>
        </w:rPr>
        <w:t>后</w:t>
      </w:r>
      <w:r>
        <w:rPr>
          <w:rFonts w:hint="eastAsia"/>
        </w:rPr>
        <w:t>一周内</w:t>
      </w:r>
      <w:r>
        <w:rPr>
          <w:rFonts w:hint="eastAsia"/>
          <w:lang w:val="en-US" w:eastAsia="zh-CN"/>
        </w:rPr>
        <w:t>完成软件</w:t>
      </w:r>
      <w:r>
        <w:rPr>
          <w:rFonts w:hint="eastAsia"/>
        </w:rPr>
        <w:t>安装</w:t>
      </w:r>
      <w:r>
        <w:rPr>
          <w:rFonts w:hint="eastAsia"/>
          <w:lang w:val="en-US" w:eastAsia="zh-CN"/>
        </w:rPr>
        <w:t>部署</w:t>
      </w:r>
      <w:r>
        <w:rPr>
          <w:rFonts w:hint="eastAsia"/>
        </w:rPr>
        <w:t>，不满足功能则做废标处理。</w:t>
      </w:r>
    </w:p>
    <w:p>
      <w:pPr>
        <w:rPr>
          <w:rFonts w:hint="eastAsia"/>
        </w:rPr>
      </w:pPr>
      <w:r>
        <w:rPr>
          <w:rFonts w:hint="eastAsia" w:ascii="宋体" w:hAnsi="宋体" w:cs="宋体"/>
          <w:color w:val="000000"/>
          <w:szCs w:val="21"/>
        </w:rPr>
        <w:t>★2.</w:t>
      </w:r>
      <w:r>
        <w:rPr>
          <w:rFonts w:hint="eastAsia"/>
          <w:lang w:val="en-US" w:eastAsia="zh-CN"/>
        </w:rPr>
        <w:t>软件终生使用，不再收取额外费用</w:t>
      </w:r>
      <w:r>
        <w:rPr>
          <w:rFonts w:hint="eastAsia"/>
        </w:rPr>
        <w:t>。</w:t>
      </w:r>
    </w:p>
    <w:p>
      <w:pPr>
        <w:rPr>
          <w:rFonts w:hint="default"/>
          <w:lang w:val="en-US"/>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提供一年免费维保，包含标准升级、知识库更新等内容，保证软件正常运行。</w:t>
      </w:r>
    </w:p>
    <w:p>
      <w:pPr>
        <w:rPr>
          <w:b/>
          <w:bCs/>
        </w:rPr>
      </w:pPr>
      <w:r>
        <w:rPr>
          <w:rFonts w:hint="eastAsia" w:ascii="宋体" w:hAnsi="宋体" w:eastAsia="宋体" w:cs="宋体"/>
          <w:color w:val="000000"/>
          <w:szCs w:val="21"/>
        </w:rPr>
        <w:t>★</w:t>
      </w:r>
      <w:r>
        <w:rPr>
          <w:rFonts w:hint="eastAsia" w:ascii="宋体" w:hAnsi="宋体" w:cs="宋体"/>
          <w:color w:val="000000"/>
          <w:szCs w:val="21"/>
          <w:lang w:val="en-US" w:eastAsia="zh-CN"/>
        </w:rPr>
        <w:t>4.</w:t>
      </w:r>
      <w:r>
        <w:rPr>
          <w:rFonts w:hint="eastAsia"/>
        </w:rPr>
        <w:t>做好</w:t>
      </w:r>
      <w:r>
        <w:rPr>
          <w:rFonts w:hint="eastAsia"/>
          <w:lang w:val="en-US" w:eastAsia="zh-CN"/>
        </w:rPr>
        <w:t>临床使用人员、</w:t>
      </w:r>
      <w:r>
        <w:rPr>
          <w:rFonts w:hint="eastAsia"/>
        </w:rPr>
        <w:t>信息技术人员的培训工作，</w:t>
      </w:r>
      <w:r>
        <w:rPr>
          <w:rFonts w:hint="eastAsia"/>
          <w:lang w:val="en-US" w:eastAsia="zh-CN"/>
        </w:rPr>
        <w:t>保证临床科室熟练使用该系统完成营养评估及其他功能操作并提供详细的操作手册。</w:t>
      </w:r>
    </w:p>
    <w:p>
      <w:pPr>
        <w:numPr>
          <w:ilvl w:val="0"/>
          <w:numId w:val="5"/>
        </w:numPr>
        <w:rPr>
          <w:b/>
          <w:bCs/>
        </w:rPr>
      </w:pPr>
      <w:r>
        <w:rPr>
          <w:rFonts w:hint="eastAsia"/>
          <w:b/>
          <w:bCs/>
        </w:rPr>
        <w:t>商务资质要求</w:t>
      </w:r>
    </w:p>
    <w:p>
      <w:pPr>
        <w:rPr>
          <w:rFonts w:hint="eastAsia" w:ascii="宋体" w:hAnsi="宋体" w:eastAsia="宋体" w:cs="宋体"/>
          <w:b w:val="0"/>
          <w:bCs w:val="0"/>
          <w:color w:val="auto"/>
        </w:rPr>
      </w:pPr>
      <w:r>
        <w:rPr>
          <w:rFonts w:hint="eastAsia" w:ascii="宋体" w:hAnsi="宋体" w:eastAsia="宋体" w:cs="宋体"/>
          <w:b w:val="0"/>
          <w:bCs w:val="0"/>
          <w:color w:val="auto"/>
        </w:rPr>
        <w:t>付款方式：</w:t>
      </w:r>
      <w:r>
        <w:rPr>
          <w:rFonts w:hint="eastAsia" w:ascii="宋体" w:hAnsi="宋体" w:cs="宋体"/>
          <w:b w:val="0"/>
          <w:bCs w:val="0"/>
          <w:color w:val="auto"/>
          <w:lang w:val="en-US" w:eastAsia="zh-CN"/>
        </w:rPr>
        <w:t>合同签署后</w:t>
      </w:r>
      <w:r>
        <w:rPr>
          <w:rFonts w:hint="eastAsia" w:ascii="宋体" w:hAnsi="宋体" w:eastAsia="宋体" w:cs="宋体"/>
          <w:b w:val="0"/>
          <w:bCs w:val="0"/>
          <w:color w:val="auto"/>
        </w:rPr>
        <w:t>的五个工作日内，将合同金额的</w:t>
      </w:r>
      <w:r>
        <w:rPr>
          <w:rFonts w:hint="eastAsia" w:ascii="宋体" w:hAnsi="宋体" w:cs="宋体"/>
          <w:b w:val="0"/>
          <w:bCs w:val="0"/>
          <w:color w:val="auto"/>
          <w:lang w:val="en-US" w:eastAsia="zh-CN"/>
        </w:rPr>
        <w:t>7</w:t>
      </w:r>
      <w:r>
        <w:rPr>
          <w:rFonts w:hint="eastAsia" w:ascii="宋体" w:hAnsi="宋体" w:eastAsia="宋体" w:cs="宋体"/>
          <w:b w:val="0"/>
          <w:bCs w:val="0"/>
          <w:color w:val="auto"/>
        </w:rPr>
        <w:t>0%价款支</w:t>
      </w:r>
    </w:p>
    <w:p>
      <w:pPr>
        <w:rPr>
          <w:rFonts w:hint="eastAsia" w:ascii="宋体" w:hAnsi="宋体" w:eastAsia="宋体" w:cs="宋体"/>
          <w:b/>
          <w:bCs/>
        </w:rPr>
      </w:pPr>
      <w:r>
        <w:rPr>
          <w:rFonts w:hint="eastAsia" w:ascii="宋体" w:hAnsi="宋体" w:eastAsia="宋体" w:cs="宋体"/>
          <w:b w:val="0"/>
          <w:bCs w:val="0"/>
          <w:color w:val="auto"/>
        </w:rPr>
        <w:t>付给乙方；剩余合同金额的</w:t>
      </w:r>
      <w:r>
        <w:rPr>
          <w:rFonts w:hint="eastAsia" w:ascii="宋体" w:hAnsi="宋体" w:cs="宋体"/>
          <w:b w:val="0"/>
          <w:bCs w:val="0"/>
          <w:color w:val="auto"/>
          <w:lang w:val="en-US" w:eastAsia="zh-CN"/>
        </w:rPr>
        <w:t>30</w:t>
      </w:r>
      <w:r>
        <w:rPr>
          <w:rFonts w:hint="eastAsia" w:ascii="宋体" w:hAnsi="宋体" w:eastAsia="宋体" w:cs="宋体"/>
          <w:b w:val="0"/>
          <w:bCs w:val="0"/>
          <w:color w:val="auto"/>
        </w:rPr>
        <w:t>%价款在</w:t>
      </w:r>
      <w:r>
        <w:rPr>
          <w:rFonts w:hint="eastAsia" w:ascii="宋体" w:hAnsi="宋体" w:cs="宋体"/>
          <w:b w:val="0"/>
          <w:bCs w:val="0"/>
          <w:color w:val="auto"/>
          <w:lang w:val="en-US" w:eastAsia="zh-CN"/>
        </w:rPr>
        <w:t>软件验收</w:t>
      </w:r>
      <w:r>
        <w:rPr>
          <w:rFonts w:hint="eastAsia" w:ascii="宋体" w:hAnsi="宋体" w:eastAsia="宋体" w:cs="宋体"/>
          <w:b w:val="0"/>
          <w:bCs w:val="0"/>
          <w:color w:val="auto"/>
        </w:rPr>
        <w:t>后的</w:t>
      </w:r>
      <w:r>
        <w:rPr>
          <w:rFonts w:hint="eastAsia" w:ascii="宋体" w:hAnsi="宋体" w:cs="宋体"/>
          <w:b w:val="0"/>
          <w:bCs w:val="0"/>
          <w:color w:val="auto"/>
          <w:lang w:val="en-US" w:eastAsia="zh-CN"/>
        </w:rPr>
        <w:t>一个月</w:t>
      </w:r>
      <w:r>
        <w:rPr>
          <w:rFonts w:hint="eastAsia" w:ascii="宋体" w:hAnsi="宋体" w:eastAsia="宋体" w:cs="宋体"/>
          <w:b w:val="0"/>
          <w:bCs w:val="0"/>
          <w:color w:val="auto"/>
        </w:rPr>
        <w:t>内支付。</w:t>
      </w:r>
    </w:p>
    <w:p>
      <w:pPr>
        <w:numPr>
          <w:ilvl w:val="0"/>
          <w:numId w:val="5"/>
        </w:numPr>
        <w:rPr>
          <w:rFonts w:hint="eastAsia" w:ascii="宋体" w:hAnsi="宋体" w:eastAsia="宋体" w:cs="宋体"/>
          <w:b/>
          <w:bCs/>
        </w:rPr>
      </w:pPr>
      <w:r>
        <w:rPr>
          <w:rFonts w:hint="eastAsia" w:ascii="宋体" w:hAnsi="宋体" w:cs="宋体"/>
          <w:b/>
          <w:bCs/>
          <w:lang w:val="en-US" w:eastAsia="zh-CN"/>
        </w:rPr>
        <w:t>维</w:t>
      </w:r>
      <w:r>
        <w:rPr>
          <w:rFonts w:hint="eastAsia" w:ascii="宋体" w:hAnsi="宋体" w:eastAsia="宋体" w:cs="宋体"/>
          <w:b/>
          <w:bCs/>
        </w:rPr>
        <w:t>保要求</w:t>
      </w:r>
    </w:p>
    <w:p>
      <w:pPr>
        <w:numPr>
          <w:ilvl w:val="0"/>
          <w:numId w:val="6"/>
        </w:numPr>
        <w:rPr>
          <w:rFonts w:hint="eastAsia" w:ascii="宋体" w:hAnsi="宋体" w:eastAsia="宋体" w:cs="宋体"/>
        </w:rPr>
      </w:pPr>
      <w:r>
        <w:rPr>
          <w:rFonts w:hint="eastAsia" w:ascii="宋体" w:hAnsi="宋体" w:eastAsia="宋体" w:cs="宋体"/>
        </w:rPr>
        <w:t>做好医院系统的日常维护，保证软件系统的正常运行，完成定期的数据管理工作及日常的系统更新和升级工作。</w:t>
      </w:r>
    </w:p>
    <w:p>
      <w:pPr>
        <w:numPr>
          <w:ilvl w:val="0"/>
          <w:numId w:val="6"/>
        </w:numPr>
        <w:rPr>
          <w:rFonts w:hint="eastAsia" w:ascii="宋体" w:hAnsi="宋体" w:eastAsia="宋体" w:cs="宋体"/>
        </w:rPr>
      </w:pPr>
      <w:r>
        <w:rPr>
          <w:rFonts w:hint="eastAsia" w:ascii="宋体" w:hAnsi="宋体" w:eastAsia="宋体" w:cs="宋体"/>
        </w:rPr>
        <w:t>软件验收后，软件工程师需远程提供咨询服务，必要时现场指导，不得随意更换，更换前必须通知并取得业主单位同意。</w:t>
      </w:r>
    </w:p>
    <w:p>
      <w:pPr>
        <w:numPr>
          <w:ilvl w:val="0"/>
          <w:numId w:val="6"/>
        </w:numPr>
        <w:rPr>
          <w:rFonts w:hint="eastAsia" w:ascii="宋体" w:hAnsi="宋体" w:eastAsia="宋体" w:cs="宋体"/>
        </w:rPr>
      </w:pPr>
      <w:r>
        <w:rPr>
          <w:rFonts w:hint="eastAsia" w:ascii="宋体" w:hAnsi="宋体" w:eastAsia="宋体" w:cs="宋体"/>
        </w:rPr>
        <w:t>做好院方的数据安全保密工作，严禁私自调用医院数据做与业务不相干的工作。</w:t>
      </w:r>
    </w:p>
    <w:p>
      <w:pPr>
        <w:numPr>
          <w:ilvl w:val="0"/>
          <w:numId w:val="6"/>
        </w:numPr>
        <w:rPr>
          <w:rFonts w:hint="eastAsia" w:ascii="宋体" w:hAnsi="宋体" w:eastAsia="宋体" w:cs="宋体"/>
        </w:rPr>
      </w:pPr>
      <w:r>
        <w:rPr>
          <w:rFonts w:hint="eastAsia" w:ascii="宋体" w:hAnsi="宋体" w:eastAsia="宋体" w:cs="宋体"/>
        </w:rPr>
        <w:t>工作时间内随时以电话、传真、电子邮件、 QQ 、微信、现场等方式免费提供所购产品的服务与技术支持维护给甲方，故障排除后需做好详细售后记录，并做好汇总。</w:t>
      </w:r>
    </w:p>
    <w:p>
      <w:pPr>
        <w:numPr>
          <w:ilvl w:val="0"/>
          <w:numId w:val="6"/>
        </w:numPr>
        <w:rPr>
          <w:rFonts w:hint="eastAsia" w:ascii="宋体" w:hAnsi="宋体" w:eastAsia="宋体" w:cs="宋体"/>
        </w:rPr>
      </w:pPr>
      <w:r>
        <w:rPr>
          <w:rFonts w:hint="eastAsia" w:ascii="宋体" w:hAnsi="宋体" w:eastAsia="宋体" w:cs="宋体"/>
        </w:rPr>
        <w:t>应定期进行现场巡视，了解各应用系统的问题，及时答复相应科室。</w:t>
      </w:r>
    </w:p>
    <w:p>
      <w:pPr>
        <w:numPr>
          <w:ilvl w:val="0"/>
          <w:numId w:val="6"/>
        </w:numPr>
      </w:pPr>
      <w:r>
        <w:rPr>
          <w:rFonts w:hint="eastAsia" w:ascii="宋体" w:hAnsi="宋体" w:cs="宋体"/>
          <w:b w:val="0"/>
          <w:bCs w:val="0"/>
          <w:color w:val="auto"/>
          <w:lang w:val="en-US" w:eastAsia="zh-CN"/>
        </w:rPr>
        <w:t>自院方</w:t>
      </w:r>
      <w:r>
        <w:rPr>
          <w:rFonts w:hint="eastAsia" w:ascii="宋体" w:hAnsi="宋体" w:eastAsia="宋体" w:cs="宋体"/>
          <w:b w:val="0"/>
          <w:bCs w:val="0"/>
          <w:color w:val="auto"/>
        </w:rPr>
        <w:t>验收之日起12个月内免维护费</w:t>
      </w:r>
      <w:r>
        <w:rPr>
          <w:rFonts w:hint="eastAsia" w:ascii="宋体" w:hAnsi="宋体" w:cs="宋体"/>
          <w:b w:val="0"/>
          <w:bCs w:val="0"/>
          <w:color w:va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DBB96"/>
    <w:multiLevelType w:val="singleLevel"/>
    <w:tmpl w:val="814DBB96"/>
    <w:lvl w:ilvl="0" w:tentative="0">
      <w:start w:val="1"/>
      <w:numFmt w:val="decimal"/>
      <w:suff w:val="space"/>
      <w:lvlText w:val="%1."/>
      <w:lvlJc w:val="left"/>
    </w:lvl>
  </w:abstractNum>
  <w:abstractNum w:abstractNumId="1">
    <w:nsid w:val="8F914106"/>
    <w:multiLevelType w:val="singleLevel"/>
    <w:tmpl w:val="8F914106"/>
    <w:lvl w:ilvl="0" w:tentative="0">
      <w:start w:val="1"/>
      <w:numFmt w:val="decimal"/>
      <w:pStyle w:val="4"/>
      <w:lvlText w:val="%1."/>
      <w:lvlJc w:val="left"/>
      <w:pPr>
        <w:ind w:left="425" w:hanging="425"/>
      </w:pPr>
      <w:rPr>
        <w:rFonts w:hint="default"/>
      </w:rPr>
    </w:lvl>
  </w:abstractNum>
  <w:abstractNum w:abstractNumId="2">
    <w:nsid w:val="F8A82FF6"/>
    <w:multiLevelType w:val="singleLevel"/>
    <w:tmpl w:val="F8A82FF6"/>
    <w:lvl w:ilvl="0" w:tentative="0">
      <w:start w:val="1"/>
      <w:numFmt w:val="chineseCounting"/>
      <w:pStyle w:val="3"/>
      <w:suff w:val="nothing"/>
      <w:lvlText w:val="（%1）"/>
      <w:lvlJc w:val="left"/>
      <w:pPr>
        <w:ind w:left="0" w:firstLine="420"/>
      </w:pPr>
      <w:rPr>
        <w:rFonts w:hint="eastAsia"/>
      </w:rPr>
    </w:lvl>
  </w:abstractNum>
  <w:abstractNum w:abstractNumId="3">
    <w:nsid w:val="25EBDCD8"/>
    <w:multiLevelType w:val="singleLevel"/>
    <w:tmpl w:val="25EBDCD8"/>
    <w:lvl w:ilvl="0" w:tentative="0">
      <w:start w:val="1"/>
      <w:numFmt w:val="chineseCounting"/>
      <w:pStyle w:val="2"/>
      <w:suff w:val="nothing"/>
      <w:lvlText w:val="%1、"/>
      <w:lvlJc w:val="left"/>
      <w:pPr>
        <w:ind w:left="0" w:firstLine="420"/>
      </w:pPr>
      <w:rPr>
        <w:rFonts w:hint="eastAsia"/>
      </w:rPr>
    </w:lvl>
  </w:abstractNum>
  <w:abstractNum w:abstractNumId="4">
    <w:nsid w:val="553DB68B"/>
    <w:multiLevelType w:val="singleLevel"/>
    <w:tmpl w:val="553DB68B"/>
    <w:lvl w:ilvl="0" w:tentative="0">
      <w:start w:val="3"/>
      <w:numFmt w:val="chineseCounting"/>
      <w:suff w:val="nothing"/>
      <w:lvlText w:val="%1、"/>
      <w:lvlJc w:val="left"/>
      <w:rPr>
        <w:rFonts w:hint="eastAsia"/>
      </w:rPr>
    </w:lvl>
  </w:abstractNum>
  <w:abstractNum w:abstractNumId="5">
    <w:nsid w:val="6C71F933"/>
    <w:multiLevelType w:val="singleLevel"/>
    <w:tmpl w:val="6C71F933"/>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ZTk3M2M0MGI2NzQxY2RmN2RkNzEyOTg5ZDFkZGIifQ=="/>
  </w:docVars>
  <w:rsids>
    <w:rsidRoot w:val="0B891E52"/>
    <w:rsid w:val="000B5C26"/>
    <w:rsid w:val="001A7124"/>
    <w:rsid w:val="001D31ED"/>
    <w:rsid w:val="00462F1E"/>
    <w:rsid w:val="004F3F84"/>
    <w:rsid w:val="00561487"/>
    <w:rsid w:val="00671D9F"/>
    <w:rsid w:val="007C2E7D"/>
    <w:rsid w:val="008D47A3"/>
    <w:rsid w:val="009E6144"/>
    <w:rsid w:val="00C84BED"/>
    <w:rsid w:val="00DA0BB5"/>
    <w:rsid w:val="00FC025C"/>
    <w:rsid w:val="01991CDF"/>
    <w:rsid w:val="01BD087C"/>
    <w:rsid w:val="0459685C"/>
    <w:rsid w:val="085A61CC"/>
    <w:rsid w:val="096B3256"/>
    <w:rsid w:val="0A9E12EE"/>
    <w:rsid w:val="0B891E52"/>
    <w:rsid w:val="0BBD6A1E"/>
    <w:rsid w:val="103C034D"/>
    <w:rsid w:val="105723B0"/>
    <w:rsid w:val="112F4B6E"/>
    <w:rsid w:val="11B815F3"/>
    <w:rsid w:val="143A4F2F"/>
    <w:rsid w:val="17631EAE"/>
    <w:rsid w:val="19DE001B"/>
    <w:rsid w:val="1AD600AE"/>
    <w:rsid w:val="1C852824"/>
    <w:rsid w:val="1E7D42AB"/>
    <w:rsid w:val="21EF7EDE"/>
    <w:rsid w:val="24414403"/>
    <w:rsid w:val="24CF07DD"/>
    <w:rsid w:val="24F340BF"/>
    <w:rsid w:val="25F94530"/>
    <w:rsid w:val="262927EC"/>
    <w:rsid w:val="267E4DF3"/>
    <w:rsid w:val="279A7D67"/>
    <w:rsid w:val="28675FE8"/>
    <w:rsid w:val="28BE029B"/>
    <w:rsid w:val="30087334"/>
    <w:rsid w:val="313742BF"/>
    <w:rsid w:val="31506ACE"/>
    <w:rsid w:val="31CD4968"/>
    <w:rsid w:val="31DE4B1E"/>
    <w:rsid w:val="31EF25F8"/>
    <w:rsid w:val="339A635A"/>
    <w:rsid w:val="34DF66D3"/>
    <w:rsid w:val="34F82E97"/>
    <w:rsid w:val="39A43062"/>
    <w:rsid w:val="3A331D87"/>
    <w:rsid w:val="3DB56605"/>
    <w:rsid w:val="3FD043DF"/>
    <w:rsid w:val="415B3F19"/>
    <w:rsid w:val="43075AA4"/>
    <w:rsid w:val="45F531DA"/>
    <w:rsid w:val="47BC17B3"/>
    <w:rsid w:val="48F271B2"/>
    <w:rsid w:val="494E4D4D"/>
    <w:rsid w:val="4A6F4C2B"/>
    <w:rsid w:val="4E7601D7"/>
    <w:rsid w:val="4E9F14AB"/>
    <w:rsid w:val="52ED517F"/>
    <w:rsid w:val="53E61C05"/>
    <w:rsid w:val="564779EE"/>
    <w:rsid w:val="56A61715"/>
    <w:rsid w:val="58906498"/>
    <w:rsid w:val="59637709"/>
    <w:rsid w:val="5A4B6B1B"/>
    <w:rsid w:val="5C7A5F17"/>
    <w:rsid w:val="5C9B4999"/>
    <w:rsid w:val="5DE42242"/>
    <w:rsid w:val="609E6DEC"/>
    <w:rsid w:val="626F32BC"/>
    <w:rsid w:val="643C74D4"/>
    <w:rsid w:val="696C479B"/>
    <w:rsid w:val="71FA43C0"/>
    <w:rsid w:val="73860337"/>
    <w:rsid w:val="73A0237D"/>
    <w:rsid w:val="74102411"/>
    <w:rsid w:val="747F6D6D"/>
    <w:rsid w:val="74C45397"/>
    <w:rsid w:val="76986D65"/>
    <w:rsid w:val="76FC5E4F"/>
    <w:rsid w:val="7734455E"/>
    <w:rsid w:val="78BE62B2"/>
    <w:rsid w:val="7CED360A"/>
    <w:rsid w:val="7E1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6"/>
      <w:szCs w:val="26"/>
      <w:lang w:val="en-US" w:eastAsia="zh-CN" w:bidi="ar-SA"/>
    </w:rPr>
  </w:style>
  <w:style w:type="paragraph" w:styleId="2">
    <w:name w:val="heading 1"/>
    <w:basedOn w:val="1"/>
    <w:next w:val="1"/>
    <w:qFormat/>
    <w:uiPriority w:val="0"/>
    <w:pPr>
      <w:keepNext/>
      <w:keepLines/>
      <w:numPr>
        <w:ilvl w:val="0"/>
        <w:numId w:val="1"/>
      </w:numPr>
      <w:spacing w:line="576" w:lineRule="auto"/>
      <w:outlineLvl w:val="0"/>
    </w:pPr>
    <w:rPr>
      <w:rFonts w:asciiTheme="minorHAnsi" w:hAnsiTheme="minorHAnsi"/>
      <w:b/>
      <w:kern w:val="44"/>
      <w:sz w:val="32"/>
    </w:rPr>
  </w:style>
  <w:style w:type="paragraph" w:styleId="3">
    <w:name w:val="heading 2"/>
    <w:basedOn w:val="1"/>
    <w:next w:val="1"/>
    <w:semiHidden/>
    <w:unhideWhenUsed/>
    <w:qFormat/>
    <w:uiPriority w:val="0"/>
    <w:pPr>
      <w:keepNext/>
      <w:keepLines/>
      <w:numPr>
        <w:ilvl w:val="0"/>
        <w:numId w:val="2"/>
      </w:numPr>
      <w:spacing w:line="413" w:lineRule="auto"/>
      <w:outlineLvl w:val="1"/>
    </w:pPr>
    <w:rPr>
      <w:rFonts w:ascii="Arial" w:hAnsi="Arial" w:eastAsia="黑体"/>
      <w:sz w:val="30"/>
    </w:rPr>
  </w:style>
  <w:style w:type="paragraph" w:styleId="4">
    <w:name w:val="heading 3"/>
    <w:basedOn w:val="1"/>
    <w:next w:val="1"/>
    <w:semiHidden/>
    <w:unhideWhenUsed/>
    <w:qFormat/>
    <w:uiPriority w:val="0"/>
    <w:pPr>
      <w:keepNext/>
      <w:keepLines/>
      <w:numPr>
        <w:ilvl w:val="0"/>
        <w:numId w:val="3"/>
      </w:numPr>
      <w:spacing w:line="240" w:lineRule="atLeast"/>
      <w:outlineLvl w:val="2"/>
    </w:pPr>
    <w:rPr>
      <w:rFonts w:asciiTheme="minorHAnsi" w:hAnsiTheme="minorHAnsi"/>
      <w:b/>
      <w:sz w:val="28"/>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rPr>
      <w:sz w:val="2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List Accent 1"/>
    <w:basedOn w:val="8"/>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character" w:customStyle="1" w:styleId="13">
    <w:name w:val="cn_91"/>
    <w:qFormat/>
    <w:uiPriority w:val="0"/>
    <w:rPr>
      <w:color w:val="000099"/>
      <w:sz w:val="18"/>
      <w:szCs w:val="18"/>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6396</Words>
  <Characters>6623</Characters>
  <Lines>44</Lines>
  <Paragraphs>12</Paragraphs>
  <TotalTime>5</TotalTime>
  <ScaleCrop>false</ScaleCrop>
  <LinksUpToDate>false</LinksUpToDate>
  <CharactersWithSpaces>6627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2020-10-27T01:50:00Z</dcterms:created>
  <dc:creator>Administrator</dc:creator>
  <cp:lastModifiedBy>铅丝</cp:lastModifiedBy>
  <dcterms:modified xsi:type="dcterms:W3CDTF">2022-10-20T04:54:09Z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2656E9E1D798479FB993023AC134581F</vt:lpwstr>
  </property>
</Properties>
</file>