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2F7C7">
      <w:pPr>
        <w:adjustRightInd w:val="0"/>
        <w:snapToGrid w:val="0"/>
        <w:spacing w:line="440" w:lineRule="atLeast"/>
        <w:jc w:val="center"/>
        <w:rPr>
          <w:rFonts w:hint="eastAsia" w:ascii="宋体" w:hAnsi="宋体" w:eastAsia="宋体" w:cs="Times New Roman"/>
          <w:b w:val="0"/>
          <w:bCs w:val="0"/>
          <w:kern w:val="0"/>
          <w:sz w:val="36"/>
          <w:szCs w:val="20"/>
          <w:lang w:val="en-US" w:eastAsia="zh-CN"/>
        </w:rPr>
      </w:pPr>
      <w:bookmarkStart w:id="0" w:name="_Toc157410886"/>
      <w:r>
        <w:rPr>
          <w:rFonts w:hint="eastAsia" w:ascii="宋体" w:hAnsi="宋体" w:eastAsia="宋体" w:cs="Times New Roman"/>
          <w:b w:val="0"/>
          <w:bCs w:val="0"/>
          <w:kern w:val="0"/>
          <w:sz w:val="36"/>
          <w:szCs w:val="20"/>
          <w:lang w:val="en-US" w:eastAsia="zh-CN"/>
        </w:rPr>
        <w:t>消防应急不间断电源采购要求</w:t>
      </w:r>
    </w:p>
    <w:bookmarkEnd w:id="0"/>
    <w:p w14:paraId="34B1C4C7">
      <w:pPr>
        <w:adjustRightInd w:val="0"/>
        <w:snapToGrid w:val="0"/>
        <w:spacing w:line="440" w:lineRule="atLeast"/>
        <w:rPr>
          <w:rFonts w:ascii="宋体" w:hAnsi="宋体" w:eastAsia="宋体" w:cs="Times New Roman"/>
          <w:b w:val="0"/>
          <w:bCs w:val="0"/>
          <w:kern w:val="0"/>
          <w:sz w:val="22"/>
        </w:rPr>
      </w:pPr>
      <w:r>
        <w:rPr>
          <w:rFonts w:hint="eastAsia" w:ascii="宋体" w:hAnsi="宋体" w:eastAsia="宋体" w:cs="Times New Roman"/>
          <w:b w:val="0"/>
          <w:bCs w:val="0"/>
          <w:kern w:val="0"/>
          <w:sz w:val="22"/>
        </w:rPr>
        <w:t>一、采购总说明</w:t>
      </w:r>
      <w:bookmarkStart w:id="2" w:name="_GoBack"/>
      <w:bookmarkEnd w:id="2"/>
    </w:p>
    <w:p w14:paraId="630D1378">
      <w:pPr>
        <w:snapToGrid w:val="0"/>
        <w:spacing w:line="440" w:lineRule="atLeast"/>
        <w:ind w:firstLine="440" w:firstLineChars="200"/>
        <w:rPr>
          <w:rFonts w:ascii="宋体" w:hAnsi="宋体" w:eastAsia="宋体" w:cs="Times New Roman"/>
          <w:b w:val="0"/>
          <w:bCs w:val="0"/>
          <w:kern w:val="0"/>
          <w:sz w:val="22"/>
        </w:rPr>
      </w:pPr>
      <w:r>
        <w:rPr>
          <w:rFonts w:hint="eastAsia" w:ascii="宋体" w:hAnsi="宋体" w:eastAsia="宋体" w:cs="Times New Roman"/>
          <w:b w:val="0"/>
          <w:bCs w:val="0"/>
          <w:kern w:val="0"/>
          <w:sz w:val="22"/>
          <w:lang w:val="en-US" w:eastAsia="zh-CN"/>
        </w:rPr>
        <w:t>瑞安市妇幼保健院</w:t>
      </w:r>
      <w:r>
        <w:rPr>
          <w:rFonts w:hint="eastAsia" w:ascii="宋体" w:hAnsi="宋体" w:eastAsia="宋体" w:cs="Times New Roman"/>
          <w:b w:val="0"/>
          <w:bCs w:val="0"/>
          <w:kern w:val="0"/>
          <w:sz w:val="22"/>
        </w:rPr>
        <w:t>对所需的</w:t>
      </w:r>
      <w:r>
        <w:rPr>
          <w:rFonts w:hint="eastAsia" w:ascii="宋体" w:hAnsi="宋体" w:eastAsia="宋体" w:cs="等线"/>
          <w:b w:val="0"/>
          <w:bCs w:val="0"/>
          <w:kern w:val="0"/>
          <w:sz w:val="22"/>
          <w:lang w:val="en-US" w:eastAsia="zh-CN"/>
        </w:rPr>
        <w:t>消防应急电源</w:t>
      </w:r>
      <w:r>
        <w:rPr>
          <w:rFonts w:hint="eastAsia" w:ascii="宋体" w:hAnsi="宋体" w:eastAsia="宋体" w:cs="Times New Roman"/>
          <w:b w:val="0"/>
          <w:bCs w:val="0"/>
          <w:kern w:val="0"/>
          <w:sz w:val="22"/>
        </w:rPr>
        <w:t>进行采购</w:t>
      </w:r>
      <w:r>
        <w:rPr>
          <w:rFonts w:hint="eastAsia" w:ascii="宋体" w:hAnsi="宋体" w:eastAsia="宋体" w:cs="Times New Roman"/>
          <w:b w:val="0"/>
          <w:bCs w:val="0"/>
          <w:kern w:val="0"/>
          <w:sz w:val="22"/>
          <w:lang w:eastAsia="zh-CN"/>
        </w:rPr>
        <w:t>，</w:t>
      </w:r>
      <w:r>
        <w:rPr>
          <w:rFonts w:hint="eastAsia" w:ascii="宋体" w:hAnsi="宋体" w:eastAsia="宋体" w:cs="Times New Roman"/>
          <w:b w:val="0"/>
          <w:bCs w:val="0"/>
          <w:kern w:val="0"/>
          <w:sz w:val="22"/>
        </w:rPr>
        <w:t>欢迎有关公司（企业）前来</w:t>
      </w:r>
      <w:r>
        <w:rPr>
          <w:rFonts w:hint="eastAsia" w:ascii="宋体" w:hAnsi="宋体" w:eastAsia="宋体" w:cs="Times New Roman"/>
          <w:b w:val="0"/>
          <w:bCs w:val="0"/>
          <w:kern w:val="0"/>
          <w:sz w:val="22"/>
          <w:lang w:val="en-US" w:eastAsia="zh-CN"/>
        </w:rPr>
        <w:t>应标</w:t>
      </w:r>
      <w:r>
        <w:rPr>
          <w:rFonts w:hint="eastAsia" w:ascii="宋体" w:hAnsi="宋体" w:eastAsia="宋体" w:cs="Times New Roman"/>
          <w:b w:val="0"/>
          <w:bCs w:val="0"/>
          <w:kern w:val="0"/>
          <w:sz w:val="22"/>
        </w:rPr>
        <w:t>。</w:t>
      </w:r>
    </w:p>
    <w:p w14:paraId="34C3F08A">
      <w:pPr>
        <w:snapToGrid w:val="0"/>
        <w:spacing w:line="440" w:lineRule="atLeast"/>
        <w:rPr>
          <w:rFonts w:ascii="宋体" w:hAnsi="宋体" w:eastAsia="宋体" w:cs="Times New Roman"/>
          <w:b w:val="0"/>
          <w:bCs w:val="0"/>
          <w:kern w:val="0"/>
          <w:sz w:val="22"/>
        </w:rPr>
      </w:pPr>
      <w:r>
        <w:rPr>
          <w:rFonts w:hint="eastAsia" w:ascii="宋体" w:hAnsi="宋体" w:eastAsia="宋体" w:cs="Times New Roman"/>
          <w:b w:val="0"/>
          <w:bCs w:val="0"/>
          <w:kern w:val="0"/>
          <w:sz w:val="22"/>
        </w:rPr>
        <w:t>二、总体技术要求</w:t>
      </w:r>
    </w:p>
    <w:p w14:paraId="740B6036">
      <w:pPr>
        <w:adjustRightInd w:val="0"/>
        <w:snapToGrid w:val="0"/>
        <w:spacing w:line="440" w:lineRule="atLeast"/>
        <w:ind w:firstLine="482"/>
        <w:rPr>
          <w:rFonts w:ascii="宋体" w:hAnsi="宋体" w:eastAsia="宋体" w:cs="Times New Roman"/>
          <w:b w:val="0"/>
          <w:bCs w:val="0"/>
          <w:kern w:val="0"/>
          <w:sz w:val="22"/>
        </w:rPr>
      </w:pPr>
      <w:r>
        <w:rPr>
          <w:rFonts w:hint="eastAsia" w:ascii="宋体" w:hAnsi="宋体" w:eastAsia="宋体" w:cs="Times New Roman"/>
          <w:b w:val="0"/>
          <w:bCs w:val="0"/>
          <w:kern w:val="0"/>
          <w:sz w:val="22"/>
        </w:rPr>
        <w:t>1、本技术规范要求提出的是最低限度的基本技术要求，并未对所有技术细节作出规定，供应商应提供符合本技术要求和国家标准、行业标准的优质产品。</w:t>
      </w:r>
    </w:p>
    <w:p w14:paraId="3838E5BB">
      <w:pPr>
        <w:adjustRightInd w:val="0"/>
        <w:snapToGrid w:val="0"/>
        <w:spacing w:line="440" w:lineRule="atLeast"/>
        <w:ind w:firstLine="482"/>
        <w:rPr>
          <w:rFonts w:ascii="宋体" w:hAnsi="宋体" w:eastAsia="宋体" w:cs="Times New Roman"/>
          <w:b w:val="0"/>
          <w:bCs w:val="0"/>
          <w:kern w:val="0"/>
          <w:sz w:val="22"/>
        </w:rPr>
      </w:pPr>
      <w:r>
        <w:rPr>
          <w:rFonts w:hint="eastAsia" w:ascii="宋体" w:hAnsi="宋体" w:eastAsia="宋体" w:cs="Times New Roman"/>
          <w:b w:val="0"/>
          <w:bCs w:val="0"/>
          <w:kern w:val="0"/>
          <w:sz w:val="22"/>
        </w:rPr>
        <w:t>2、供应商产品与本技术要求不一致时，供应商应在投标文件中予以说明，并由评标委员会鉴定供应商产品能否达到要求。如供应商没有在投标文件中提出异议，则视为供应商提供的产品完全按照本采购文件要求。</w:t>
      </w:r>
    </w:p>
    <w:p w14:paraId="71D8E470">
      <w:pPr>
        <w:adjustRightInd w:val="0"/>
        <w:snapToGrid w:val="0"/>
        <w:spacing w:line="440" w:lineRule="atLeast"/>
        <w:ind w:firstLine="482"/>
        <w:rPr>
          <w:rFonts w:ascii="宋体" w:hAnsi="宋体" w:eastAsia="宋体" w:cs="Times New Roman"/>
          <w:b w:val="0"/>
          <w:bCs w:val="0"/>
          <w:kern w:val="0"/>
          <w:sz w:val="22"/>
        </w:rPr>
      </w:pPr>
      <w:r>
        <w:rPr>
          <w:rFonts w:hint="eastAsia" w:ascii="宋体" w:hAnsi="宋体" w:eastAsia="宋体" w:cs="Times New Roman"/>
          <w:b w:val="0"/>
          <w:bCs w:val="0"/>
          <w:kern w:val="0"/>
          <w:sz w:val="22"/>
        </w:rPr>
        <w:t>3、技术要求及标准的执行</w:t>
      </w:r>
    </w:p>
    <w:p w14:paraId="73A53481">
      <w:pPr>
        <w:adjustRightInd w:val="0"/>
        <w:snapToGrid w:val="0"/>
        <w:spacing w:line="440" w:lineRule="atLeast"/>
        <w:ind w:firstLine="482"/>
        <w:rPr>
          <w:rFonts w:ascii="宋体" w:hAnsi="宋体" w:eastAsia="宋体" w:cs="Times New Roman"/>
          <w:b w:val="0"/>
          <w:bCs w:val="0"/>
          <w:kern w:val="0"/>
          <w:sz w:val="22"/>
        </w:rPr>
      </w:pPr>
      <w:r>
        <w:rPr>
          <w:rFonts w:hint="eastAsia" w:ascii="宋体" w:hAnsi="宋体" w:eastAsia="宋体" w:cs="Times New Roman"/>
          <w:b w:val="0"/>
          <w:bCs w:val="0"/>
          <w:kern w:val="0"/>
          <w:sz w:val="22"/>
        </w:rPr>
        <w:t>供应商提供的产品应标明所执行的质量标准，若同一标准已颁发新标准，则按最新标准执行。若同一产品同时有几个标准（国际标准、国家标准、行业标准、企业标准等），则按最高层次的标准执行。</w:t>
      </w:r>
    </w:p>
    <w:p w14:paraId="2D73A0EE">
      <w:pPr>
        <w:adjustRightInd w:val="0"/>
        <w:snapToGrid w:val="0"/>
        <w:spacing w:line="440" w:lineRule="atLeast"/>
        <w:ind w:firstLine="482"/>
        <w:rPr>
          <w:rFonts w:ascii="宋体" w:hAnsi="宋体" w:eastAsia="宋体" w:cs="Times New Roman"/>
          <w:b w:val="0"/>
          <w:bCs w:val="0"/>
          <w:kern w:val="0"/>
          <w:sz w:val="22"/>
        </w:rPr>
      </w:pPr>
      <w:r>
        <w:rPr>
          <w:rFonts w:hint="eastAsia" w:ascii="宋体" w:hAnsi="宋体" w:eastAsia="宋体" w:cs="Times New Roman"/>
          <w:b w:val="0"/>
          <w:bCs w:val="0"/>
          <w:kern w:val="0"/>
          <w:sz w:val="22"/>
        </w:rPr>
        <w:t>4、供应商须按国家有关规定及标准完成本次采购产品的供货、运输、装卸、就位、安装、调试、技术培训、检验、通过有关部门验收、维保期服务、产品终身维修等各项工作，并保证投标产品使用的安全性能与检测结果的可靠性。如中标，中标供应商及制造商对中标产品使用的安全性能与可靠性负全部责任。</w:t>
      </w:r>
    </w:p>
    <w:p w14:paraId="6832DE67">
      <w:pPr>
        <w:adjustRightInd w:val="0"/>
        <w:snapToGrid w:val="0"/>
        <w:spacing w:line="440" w:lineRule="atLeast"/>
        <w:rPr>
          <w:rFonts w:ascii="宋体" w:hAnsi="宋体" w:eastAsia="宋体" w:cs="Times New Roman"/>
          <w:b w:val="0"/>
          <w:bCs w:val="0"/>
          <w:kern w:val="0"/>
          <w:sz w:val="22"/>
        </w:rPr>
      </w:pPr>
      <w:r>
        <w:rPr>
          <w:rFonts w:hint="eastAsia" w:ascii="宋体" w:hAnsi="宋体" w:eastAsia="宋体" w:cs="Times New Roman"/>
          <w:b w:val="0"/>
          <w:bCs w:val="0"/>
          <w:kern w:val="0"/>
          <w:sz w:val="22"/>
        </w:rPr>
        <w:t>三、采购内容及具体要求</w:t>
      </w:r>
      <w:bookmarkStart w:id="1" w:name="_Toc1796"/>
    </w:p>
    <w:bookmarkEnd w:id="1"/>
    <w:p w14:paraId="756341DE">
      <w:pPr>
        <w:spacing w:line="400" w:lineRule="atLeast"/>
        <w:rPr>
          <w:rFonts w:hint="eastAsia" w:ascii="宋体" w:hAnsi="宋体" w:eastAsia="宋体" w:cs="Times New Roman"/>
          <w:b w:val="0"/>
          <w:bCs w:val="0"/>
          <w:sz w:val="22"/>
        </w:rPr>
      </w:pPr>
      <w:r>
        <w:rPr>
          <w:rFonts w:hint="eastAsia" w:ascii="宋体" w:hAnsi="宋体" w:eastAsia="宋体" w:cs="Times New Roman"/>
          <w:b w:val="0"/>
          <w:bCs w:val="0"/>
          <w:sz w:val="22"/>
        </w:rPr>
        <w:t>一）采购清单</w:t>
      </w:r>
    </w:p>
    <w:p w14:paraId="33835EB2">
      <w:pPr>
        <w:spacing w:line="400" w:lineRule="atLeast"/>
        <w:rPr>
          <w:rFonts w:hint="eastAsia" w:ascii="宋体" w:hAnsi="宋体" w:eastAsia="宋体" w:cs="Times New Roman"/>
          <w:b w:val="0"/>
          <w:bCs w:val="0"/>
          <w:sz w:val="22"/>
        </w:rPr>
      </w:pPr>
    </w:p>
    <w:tbl>
      <w:tblPr>
        <w:tblStyle w:val="9"/>
        <w:tblW w:w="84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1023"/>
        <w:gridCol w:w="2890"/>
        <w:gridCol w:w="632"/>
        <w:gridCol w:w="788"/>
        <w:gridCol w:w="2182"/>
      </w:tblGrid>
      <w:tr w14:paraId="5246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905" w:type="dxa"/>
            <w:tcBorders>
              <w:top w:val="single" w:color="000000" w:sz="4" w:space="0"/>
              <w:left w:val="single" w:color="000000" w:sz="8" w:space="0"/>
              <w:bottom w:val="single" w:color="000000" w:sz="4" w:space="0"/>
              <w:right w:val="single" w:color="000000" w:sz="4" w:space="0"/>
            </w:tcBorders>
            <w:shd w:val="clear" w:color="auto" w:fill="F2F2F2"/>
            <w:noWrap/>
            <w:vAlign w:val="center"/>
          </w:tcPr>
          <w:p w14:paraId="404990E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项目</w:t>
            </w:r>
          </w:p>
        </w:tc>
        <w:tc>
          <w:tcPr>
            <w:tcW w:w="1023"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F857AF2">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名称</w:t>
            </w:r>
          </w:p>
        </w:tc>
        <w:tc>
          <w:tcPr>
            <w:tcW w:w="2890"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B4354F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lang w:val="en-US" w:eastAsia="zh-CN"/>
              </w:rPr>
            </w:pPr>
            <w:r>
              <w:rPr>
                <w:rFonts w:hint="eastAsia" w:ascii="宋体" w:hAnsi="宋体" w:eastAsia="宋体" w:cs="宋体"/>
                <w:b w:val="0"/>
                <w:bCs w:val="0"/>
                <w:i w:val="0"/>
                <w:iCs w:val="0"/>
                <w:color w:val="000000"/>
                <w:sz w:val="20"/>
                <w:szCs w:val="20"/>
                <w:highlight w:val="none"/>
                <w:u w:val="none"/>
                <w:lang w:val="en-US" w:eastAsia="zh-CN"/>
              </w:rPr>
              <w:t>规格</w:t>
            </w:r>
          </w:p>
        </w:tc>
        <w:tc>
          <w:tcPr>
            <w:tcW w:w="63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9189D5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24B231A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单位</w:t>
            </w:r>
          </w:p>
        </w:tc>
        <w:tc>
          <w:tcPr>
            <w:tcW w:w="218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104F26A">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备注</w:t>
            </w:r>
          </w:p>
        </w:tc>
      </w:tr>
      <w:tr w14:paraId="4A65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9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642B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53E9">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应急电源</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6D7">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3KVA</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D7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 xml:space="preserve">19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7B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台</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9E44">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质保期内每年由原厂技术工程师进行4次现场维护</w:t>
            </w:r>
          </w:p>
        </w:tc>
      </w:tr>
      <w:tr w14:paraId="7C26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9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358901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 xml:space="preserve">2 </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693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蓄电池</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E451">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highlight w:val="none"/>
                <w:u w:val="none"/>
                <w:lang w:val="en-US"/>
              </w:rPr>
            </w:pPr>
            <w:r>
              <w:rPr>
                <w:rFonts w:hint="eastAsia" w:ascii="宋体" w:hAnsi="宋体" w:eastAsia="宋体" w:cs="宋体"/>
                <w:b w:val="0"/>
                <w:bCs w:val="0"/>
                <w:i w:val="0"/>
                <w:iCs w:val="0"/>
                <w:color w:val="000000"/>
                <w:kern w:val="0"/>
                <w:sz w:val="20"/>
                <w:szCs w:val="20"/>
                <w:highlight w:val="none"/>
                <w:u w:val="none"/>
                <w:lang w:val="en-US" w:eastAsia="zh-CN" w:bidi="ar"/>
              </w:rPr>
              <w:t>10小时率容量为12V-38AH，重量不低于14.7KG，提供蓄电池泰尔检测报告，抗震检测报告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C9F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74</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A8A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color w:val="000000"/>
                <w:kern w:val="0"/>
                <w:sz w:val="20"/>
                <w:szCs w:val="20"/>
                <w:highlight w:val="none"/>
                <w:u w:val="none"/>
                <w:lang w:val="en-US" w:eastAsia="zh-CN" w:bidi="ar"/>
              </w:rPr>
              <w:t>节</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ADE1">
            <w:pPr>
              <w:keepNext w:val="0"/>
              <w:keepLines w:val="0"/>
              <w:widowControl/>
              <w:suppressLineNumbers w:val="0"/>
              <w:jc w:val="both"/>
              <w:textAlignment w:val="center"/>
              <w:rPr>
                <w:rFonts w:hint="default" w:ascii="宋体" w:hAnsi="宋体" w:eastAsia="宋体" w:cs="宋体"/>
                <w:b w:val="0"/>
                <w:bCs w:val="0"/>
                <w:i w:val="0"/>
                <w:iCs w:val="0"/>
                <w:color w:val="000000"/>
                <w:kern w:val="0"/>
                <w:sz w:val="22"/>
                <w:szCs w:val="22"/>
                <w:highlight w:val="none"/>
                <w:u w:val="none"/>
                <w:lang w:val="en-US" w:eastAsia="zh-CN" w:bidi="ar"/>
              </w:rPr>
            </w:pPr>
          </w:p>
        </w:tc>
      </w:tr>
      <w:tr w14:paraId="2B79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90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F0C9ED3">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3</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DD47">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蓄电池</w:t>
            </w:r>
          </w:p>
        </w:tc>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07BD">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10小时率容量为12V-65AH，重量不低于23.4KG，提供蓄电池泰尔检测报告，抗震检测报告</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AB58">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4369">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highlight w:val="none"/>
                <w:u w:val="none"/>
                <w:lang w:val="en-US" w:eastAsia="zh-CN" w:bidi="ar"/>
              </w:rPr>
            </w:pPr>
            <w:r>
              <w:rPr>
                <w:rFonts w:hint="eastAsia" w:ascii="宋体" w:hAnsi="宋体" w:eastAsia="宋体" w:cs="宋体"/>
                <w:b w:val="0"/>
                <w:bCs w:val="0"/>
                <w:i w:val="0"/>
                <w:iCs w:val="0"/>
                <w:color w:val="000000"/>
                <w:kern w:val="0"/>
                <w:sz w:val="20"/>
                <w:szCs w:val="20"/>
                <w:highlight w:val="none"/>
                <w:u w:val="none"/>
                <w:lang w:val="en-US" w:eastAsia="zh-CN" w:bidi="ar"/>
              </w:rPr>
              <w:t>节</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3C99">
            <w:pPr>
              <w:keepNext w:val="0"/>
              <w:keepLines w:val="0"/>
              <w:widowControl/>
              <w:suppressLineNumbers w:val="0"/>
              <w:jc w:val="both"/>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p>
        </w:tc>
      </w:tr>
    </w:tbl>
    <w:p w14:paraId="01360AB3">
      <w:pPr>
        <w:rPr>
          <w:b w:val="0"/>
          <w:bCs w:val="0"/>
        </w:rPr>
      </w:pPr>
    </w:p>
    <w:p w14:paraId="5ECFEE70">
      <w:pPr>
        <w:pStyle w:val="13"/>
        <w:numPr>
          <w:ilvl w:val="0"/>
          <w:numId w:val="1"/>
        </w:numPr>
        <w:spacing w:line="360" w:lineRule="auto"/>
        <w:ind w:firstLineChars="0"/>
        <w:rPr>
          <w:rFonts w:ascii="宋体" w:hAnsi="宋体" w:eastAsia="宋体"/>
          <w:b w:val="0"/>
          <w:bCs w:val="0"/>
          <w:sz w:val="22"/>
        </w:rPr>
      </w:pPr>
      <w:r>
        <w:rPr>
          <w:rFonts w:hint="eastAsia" w:ascii="宋体" w:hAnsi="宋体" w:eastAsia="宋体"/>
          <w:b w:val="0"/>
          <w:bCs w:val="0"/>
          <w:sz w:val="22"/>
        </w:rPr>
        <w:t>核心设备技术要求</w:t>
      </w:r>
    </w:p>
    <w:p w14:paraId="2CD929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2.1、EPS技术要求：</w:t>
      </w:r>
    </w:p>
    <w:p w14:paraId="42265AA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采用7寸大触摸屏幕，中文LCD显示，可实时显示EPS的运行参数和运行状态，包括输入、输出电压和电流、电池电压和电流、温度和频率等参数；并同时支持触摸操作和按键操作，满足不同操作习惯的客户需求，简单方便；监控模块自带实时时钟和存储器，可记录1000条事件记录和其他的设置信息，便于监测和维护；提供实物图片，并加盖EPS厂家的公章；</w:t>
      </w:r>
    </w:p>
    <w:p w14:paraId="79786DE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为有效降低空气中灰尘、水汽及其他杂质等对功率线路和内部器件的腐蚀影响，提高EPS在恶劣环境下长期工作的可靠性。EPS电源采用具有模块风道结构，插片式散热气等技术，提供权威部门的第三方有效证明文件并加盖公章；</w:t>
      </w:r>
    </w:p>
    <w:p w14:paraId="684B00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EPS主机干接点数量不少于5路，并支持现场自定义；并能检测输出总开关及分路开关状态，异常时发出告警信号；加盖EPS厂家的公章, EPS验收时做现场验证；</w:t>
      </w:r>
    </w:p>
    <w:p w14:paraId="33235F6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★EPS主机应急效率不小于96%，市电效率不小于99%，提供提供提供第三方机构（具备CMA、ilac-MAR或CNAS资质）出具的检测报告作为证明材料；</w:t>
      </w:r>
    </w:p>
    <w:p w14:paraId="5F332E4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★逆变模块核心电路板沿用成熟产品线路板，性能稳定可靠；模块内含有风机故障检测功能，便于在线检测维护；提供证明文件加盖EPS厂家的公章, EPS验收时做现场验证；</w:t>
      </w:r>
    </w:p>
    <w:p w14:paraId="6932CB5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主机控制功能：手/自动开关功能、强制启动功能、自动月检/年检功能、复位功能、消防联动功能。提供证明材料加盖EPS厂家的公章, EPS验收时做现场验证；</w:t>
      </w:r>
    </w:p>
    <w:p w14:paraId="6525D1E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★EPS主机充电器具有温度补偿电路技术，提供权威部门第三方有效证明文件.</w:t>
      </w:r>
    </w:p>
    <w:p w14:paraId="1880C2D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EPS在无市电状态下，可直接用电池组启动EPS，或无电池情况下直接用市电启动。</w:t>
      </w:r>
    </w:p>
    <w:p w14:paraId="32D0391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★EPS主机能接入电池巡检仪系统，并能在EPS主屏幕上显示电池组及单节电池信息，电池出现异常后能及时给予报警提示；提供实物图片，并加盖EPS厂家的公章。</w:t>
      </w:r>
    </w:p>
    <w:p w14:paraId="73F80E4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EPS主机为了满足后端配电需求，输出分路开关可增加不少于10路；提供实物图片，并加盖EPS厂家的公章；</w:t>
      </w:r>
    </w:p>
    <w:p w14:paraId="3EA0E5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EPS内部器件采用三防处理，提高系统可靠性。</w:t>
      </w:r>
    </w:p>
    <w:p w14:paraId="3F624AE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★EPS电源主电应急切换时间不大于2ms,提供提供第三方机构（具备CMA、ilac-MAR或CNAS资质）出具的检测报告作为证明材料。</w:t>
      </w:r>
    </w:p>
    <w:p w14:paraId="674C72D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rPr>
          <w:b w:val="0"/>
          <w:bCs w:val="0"/>
          <w:sz w:val="22"/>
        </w:rPr>
      </w:pPr>
      <w:r>
        <w:rPr>
          <w:rFonts w:hint="eastAsia" w:ascii="宋体" w:hAnsi="宋体" w:eastAsia="宋体" w:cs="宋体"/>
          <w:b w:val="0"/>
          <w:bCs w:val="0"/>
          <w:sz w:val="22"/>
          <w:szCs w:val="22"/>
          <w:lang w:val="en-US" w:eastAsia="zh-CN"/>
        </w:rPr>
        <w:t>设备参数要求</w:t>
      </w:r>
    </w:p>
    <w:tbl>
      <w:tblPr>
        <w:tblStyle w:val="9"/>
        <w:tblW w:w="9573" w:type="dxa"/>
        <w:tblInd w:w="0" w:type="dxa"/>
        <w:tblLayout w:type="autofit"/>
        <w:tblCellMar>
          <w:top w:w="0" w:type="dxa"/>
          <w:left w:w="0" w:type="dxa"/>
          <w:bottom w:w="0" w:type="dxa"/>
          <w:right w:w="0" w:type="dxa"/>
        </w:tblCellMar>
      </w:tblPr>
      <w:tblGrid>
        <w:gridCol w:w="1677"/>
        <w:gridCol w:w="7896"/>
      </w:tblGrid>
      <w:tr w14:paraId="3657D29B">
        <w:tblPrEx>
          <w:tblCellMar>
            <w:top w:w="0" w:type="dxa"/>
            <w:left w:w="0" w:type="dxa"/>
            <w:bottom w:w="0" w:type="dxa"/>
            <w:right w:w="0" w:type="dxa"/>
          </w:tblCellMar>
        </w:tblPrEx>
        <w:trPr>
          <w:trHeight w:val="145" w:hRule="atLeast"/>
        </w:trPr>
        <w:tc>
          <w:tcPr>
            <w:tcW w:w="0" w:type="auto"/>
            <w:gridSpan w:val="2"/>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1EDF4493">
            <w:pPr>
              <w:jc w:val="both"/>
              <w:rPr>
                <w:rFonts w:hint="default" w:ascii="宋体" w:hAnsi="宋体" w:eastAsiaTheme="minorEastAsia"/>
                <w:b w:val="0"/>
                <w:bCs w:val="0"/>
                <w:szCs w:val="21"/>
                <w:lang w:val="en-US" w:eastAsia="zh-CN"/>
              </w:rPr>
            </w:pPr>
            <w:r>
              <w:rPr>
                <w:rFonts w:hint="eastAsia" w:ascii="宋体" w:hAnsi="宋体"/>
                <w:b w:val="0"/>
                <w:bCs w:val="0"/>
                <w:szCs w:val="21"/>
                <w:lang w:val="en-US" w:eastAsia="zh-CN"/>
              </w:rPr>
              <w:t>设备参数</w:t>
            </w:r>
          </w:p>
        </w:tc>
      </w:tr>
      <w:tr w14:paraId="705B6143">
        <w:tblPrEx>
          <w:tblCellMar>
            <w:top w:w="0" w:type="dxa"/>
            <w:left w:w="0" w:type="dxa"/>
            <w:bottom w:w="0" w:type="dxa"/>
            <w:right w:w="0" w:type="dxa"/>
          </w:tblCellMar>
        </w:tblPrEx>
        <w:trPr>
          <w:trHeight w:val="22"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26939D34">
            <w:pPr>
              <w:rPr>
                <w:rFonts w:ascii="宋体" w:hAnsi="宋体"/>
                <w:b w:val="0"/>
                <w:bCs w:val="0"/>
                <w:szCs w:val="21"/>
              </w:rPr>
            </w:pPr>
            <w:r>
              <w:rPr>
                <w:rFonts w:hint="eastAsia" w:ascii="宋体" w:hAnsi="宋体"/>
                <w:b w:val="0"/>
                <w:bCs w:val="0"/>
                <w:szCs w:val="21"/>
              </w:rPr>
              <w:t xml:space="preserve">容量 </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16368D31">
            <w:pPr>
              <w:jc w:val="center"/>
              <w:rPr>
                <w:rFonts w:ascii="宋体" w:hAnsi="宋体"/>
                <w:b w:val="0"/>
                <w:bCs w:val="0"/>
                <w:szCs w:val="21"/>
              </w:rPr>
            </w:pPr>
            <w:r>
              <w:rPr>
                <w:rFonts w:hint="eastAsia" w:ascii="宋体" w:hAnsi="宋体"/>
                <w:b w:val="0"/>
                <w:bCs w:val="0"/>
                <w:szCs w:val="21"/>
                <w:lang w:val="en-US" w:eastAsia="zh-CN"/>
              </w:rPr>
              <w:t>3</w:t>
            </w:r>
            <w:r>
              <w:rPr>
                <w:rFonts w:hint="eastAsia" w:ascii="宋体" w:hAnsi="宋体"/>
                <w:b w:val="0"/>
                <w:bCs w:val="0"/>
                <w:szCs w:val="21"/>
              </w:rPr>
              <w:t>kVA</w:t>
            </w:r>
          </w:p>
        </w:tc>
      </w:tr>
      <w:tr w14:paraId="565E9B97">
        <w:tblPrEx>
          <w:tblCellMar>
            <w:top w:w="0" w:type="dxa"/>
            <w:left w:w="0" w:type="dxa"/>
            <w:bottom w:w="0" w:type="dxa"/>
            <w:right w:w="0" w:type="dxa"/>
          </w:tblCellMar>
        </w:tblPrEx>
        <w:trPr>
          <w:trHeight w:val="17" w:hRule="atLeast"/>
        </w:trPr>
        <w:tc>
          <w:tcPr>
            <w:tcW w:w="0" w:type="auto"/>
            <w:gridSpan w:val="2"/>
            <w:tcBorders>
              <w:top w:val="single" w:color="A6A6A6" w:sz="8" w:space="0"/>
              <w:left w:val="single" w:color="A6A6A6" w:sz="8" w:space="0"/>
              <w:bottom w:val="single" w:color="A6A6A6" w:sz="8" w:space="0"/>
              <w:right w:val="single" w:color="A6A6A6" w:sz="8" w:space="0"/>
            </w:tcBorders>
            <w:shd w:val="clear" w:color="auto" w:fill="EFEFEF"/>
            <w:noWrap w:val="0"/>
            <w:tcMar>
              <w:top w:w="113" w:type="dxa"/>
              <w:left w:w="113" w:type="dxa"/>
              <w:bottom w:w="113" w:type="dxa"/>
              <w:right w:w="113" w:type="dxa"/>
            </w:tcMar>
            <w:vAlign w:val="center"/>
          </w:tcPr>
          <w:p w14:paraId="3DC1F77B">
            <w:pPr>
              <w:rPr>
                <w:rFonts w:ascii="宋体" w:hAnsi="宋体"/>
                <w:b w:val="0"/>
                <w:bCs w:val="0"/>
                <w:szCs w:val="21"/>
              </w:rPr>
            </w:pPr>
            <w:r>
              <w:rPr>
                <w:rFonts w:hint="eastAsia" w:ascii="宋体" w:hAnsi="宋体"/>
                <w:b w:val="0"/>
                <w:bCs w:val="0"/>
                <w:szCs w:val="21"/>
              </w:rPr>
              <w:t xml:space="preserve">输入指标 </w:t>
            </w:r>
          </w:p>
        </w:tc>
      </w:tr>
      <w:tr w14:paraId="194AC10A">
        <w:tblPrEx>
          <w:tblCellMar>
            <w:top w:w="0" w:type="dxa"/>
            <w:left w:w="0" w:type="dxa"/>
            <w:bottom w:w="0" w:type="dxa"/>
            <w:right w:w="0" w:type="dxa"/>
          </w:tblCellMar>
        </w:tblPrEx>
        <w:trPr>
          <w:trHeight w:val="440" w:hRule="atLeast"/>
        </w:trPr>
        <w:tc>
          <w:tcPr>
            <w:tcW w:w="0" w:type="auto"/>
            <w:tcBorders>
              <w:top w:val="single" w:color="A6A6A6" w:sz="8" w:space="0"/>
              <w:left w:val="single" w:color="A6A6A6" w:sz="8" w:space="0"/>
              <w:bottom w:val="single" w:color="A6A6A6" w:sz="8" w:space="0"/>
              <w:right w:val="single" w:color="B3B3B3" w:sz="8" w:space="0"/>
            </w:tcBorders>
            <w:shd w:val="clear" w:color="auto" w:fill="auto"/>
            <w:noWrap w:val="0"/>
            <w:tcMar>
              <w:top w:w="113" w:type="dxa"/>
              <w:left w:w="113" w:type="dxa"/>
              <w:bottom w:w="113" w:type="dxa"/>
              <w:right w:w="113" w:type="dxa"/>
            </w:tcMar>
            <w:vAlign w:val="center"/>
          </w:tcPr>
          <w:p w14:paraId="5D13A2EA">
            <w:pPr>
              <w:rPr>
                <w:rFonts w:ascii="宋体" w:hAnsi="宋体"/>
                <w:b w:val="0"/>
                <w:bCs w:val="0"/>
                <w:szCs w:val="21"/>
              </w:rPr>
            </w:pPr>
            <w:r>
              <w:rPr>
                <w:rFonts w:hint="eastAsia" w:ascii="宋体" w:hAnsi="宋体"/>
                <w:b w:val="0"/>
                <w:bCs w:val="0"/>
                <w:szCs w:val="21"/>
              </w:rPr>
              <w:t>直流电压</w:t>
            </w:r>
          </w:p>
        </w:tc>
        <w:tc>
          <w:tcPr>
            <w:tcW w:w="0" w:type="auto"/>
            <w:tcBorders>
              <w:top w:val="single" w:color="B3B3B3" w:sz="8" w:space="0"/>
              <w:left w:val="single" w:color="B3B3B3" w:sz="8" w:space="0"/>
              <w:bottom w:val="single" w:color="B3B3B3" w:sz="8" w:space="0"/>
              <w:right w:val="single" w:color="B3B3B3" w:sz="8" w:space="0"/>
            </w:tcBorders>
            <w:shd w:val="clear" w:color="auto" w:fill="auto"/>
            <w:noWrap w:val="0"/>
            <w:tcMar>
              <w:top w:w="113" w:type="dxa"/>
              <w:left w:w="113" w:type="dxa"/>
              <w:bottom w:w="113" w:type="dxa"/>
              <w:right w:w="113" w:type="dxa"/>
            </w:tcMar>
            <w:vAlign w:val="center"/>
          </w:tcPr>
          <w:p w14:paraId="6EE03194">
            <w:pPr>
              <w:rPr>
                <w:rFonts w:ascii="宋体" w:hAnsi="宋体"/>
                <w:b w:val="0"/>
                <w:bCs w:val="0"/>
                <w:szCs w:val="21"/>
              </w:rPr>
            </w:pPr>
            <w:r>
              <w:rPr>
                <w:rFonts w:hint="eastAsia" w:ascii="宋体" w:hAnsi="宋体"/>
                <w:b w:val="0"/>
                <w:bCs w:val="0"/>
                <w:szCs w:val="21"/>
              </w:rPr>
              <w:t>48V(4节电池)</w:t>
            </w:r>
          </w:p>
        </w:tc>
      </w:tr>
      <w:tr w14:paraId="25C078DF">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370B5F0E">
            <w:pPr>
              <w:rPr>
                <w:rFonts w:ascii="宋体" w:hAnsi="宋体"/>
                <w:b w:val="0"/>
                <w:bCs w:val="0"/>
                <w:szCs w:val="21"/>
              </w:rPr>
            </w:pPr>
            <w:r>
              <w:rPr>
                <w:rFonts w:hint="eastAsia" w:ascii="宋体" w:hAnsi="宋体"/>
                <w:b w:val="0"/>
                <w:bCs w:val="0"/>
                <w:szCs w:val="21"/>
              </w:rPr>
              <w:t>输入电压</w:t>
            </w:r>
          </w:p>
        </w:tc>
        <w:tc>
          <w:tcPr>
            <w:tcW w:w="0" w:type="auto"/>
            <w:tcBorders>
              <w:top w:val="single" w:color="B3B3B3"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56F967E0">
            <w:pPr>
              <w:rPr>
                <w:rFonts w:hint="eastAsia" w:ascii="宋体" w:hAnsi="宋体"/>
                <w:b w:val="0"/>
                <w:bCs w:val="0"/>
                <w:szCs w:val="21"/>
              </w:rPr>
            </w:pPr>
            <w:r>
              <w:rPr>
                <w:rFonts w:hint="eastAsia" w:ascii="宋体" w:hAnsi="宋体"/>
                <w:b w:val="0"/>
                <w:bCs w:val="0"/>
                <w:szCs w:val="21"/>
              </w:rPr>
              <w:t>220Vac （ +15%，-25%）</w:t>
            </w:r>
          </w:p>
        </w:tc>
      </w:tr>
      <w:tr w14:paraId="6287D803">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3614826F">
            <w:pPr>
              <w:rPr>
                <w:rFonts w:ascii="宋体" w:hAnsi="宋体"/>
                <w:b w:val="0"/>
                <w:bCs w:val="0"/>
                <w:szCs w:val="21"/>
              </w:rPr>
            </w:pPr>
            <w:r>
              <w:rPr>
                <w:rFonts w:hint="eastAsia" w:ascii="宋体" w:hAnsi="宋体"/>
                <w:b w:val="0"/>
                <w:bCs w:val="0"/>
                <w:szCs w:val="21"/>
              </w:rPr>
              <w:t xml:space="preserve">输入频率 </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556EA3B4">
            <w:pPr>
              <w:rPr>
                <w:rFonts w:ascii="宋体" w:hAnsi="宋体"/>
                <w:b w:val="0"/>
                <w:bCs w:val="0"/>
                <w:szCs w:val="21"/>
              </w:rPr>
            </w:pPr>
            <w:r>
              <w:rPr>
                <w:rFonts w:hint="eastAsia" w:ascii="宋体" w:hAnsi="宋体"/>
                <w:b w:val="0"/>
                <w:bCs w:val="0"/>
                <w:szCs w:val="21"/>
              </w:rPr>
              <w:t>50Hz±10%</w:t>
            </w:r>
          </w:p>
        </w:tc>
      </w:tr>
      <w:tr w14:paraId="63073325">
        <w:tblPrEx>
          <w:tblCellMar>
            <w:top w:w="0" w:type="dxa"/>
            <w:left w:w="0" w:type="dxa"/>
            <w:bottom w:w="0" w:type="dxa"/>
            <w:right w:w="0" w:type="dxa"/>
          </w:tblCellMar>
        </w:tblPrEx>
        <w:trPr>
          <w:trHeight w:val="17" w:hRule="atLeast"/>
        </w:trPr>
        <w:tc>
          <w:tcPr>
            <w:tcW w:w="0" w:type="auto"/>
            <w:gridSpan w:val="2"/>
            <w:tcBorders>
              <w:top w:val="single" w:color="A6A6A6" w:sz="8" w:space="0"/>
              <w:left w:val="single" w:color="A6A6A6" w:sz="8" w:space="0"/>
              <w:bottom w:val="single" w:color="A6A6A6" w:sz="8" w:space="0"/>
              <w:right w:val="single" w:color="A6A6A6" w:sz="8" w:space="0"/>
            </w:tcBorders>
            <w:shd w:val="clear" w:color="auto" w:fill="EFEFEF"/>
            <w:noWrap w:val="0"/>
            <w:tcMar>
              <w:top w:w="113" w:type="dxa"/>
              <w:left w:w="113" w:type="dxa"/>
              <w:bottom w:w="113" w:type="dxa"/>
              <w:right w:w="113" w:type="dxa"/>
            </w:tcMar>
            <w:vAlign w:val="center"/>
          </w:tcPr>
          <w:p w14:paraId="13BA0C34">
            <w:pPr>
              <w:rPr>
                <w:rFonts w:ascii="宋体" w:hAnsi="宋体"/>
                <w:b w:val="0"/>
                <w:bCs w:val="0"/>
                <w:szCs w:val="21"/>
              </w:rPr>
            </w:pPr>
            <w:r>
              <w:rPr>
                <w:rFonts w:hint="eastAsia" w:ascii="宋体" w:hAnsi="宋体"/>
                <w:b w:val="0"/>
                <w:bCs w:val="0"/>
                <w:szCs w:val="21"/>
              </w:rPr>
              <w:t xml:space="preserve">输出指标 </w:t>
            </w:r>
          </w:p>
        </w:tc>
      </w:tr>
      <w:tr w14:paraId="06D4280B">
        <w:tblPrEx>
          <w:tblCellMar>
            <w:top w:w="0" w:type="dxa"/>
            <w:left w:w="0" w:type="dxa"/>
            <w:bottom w:w="0" w:type="dxa"/>
            <w:right w:w="0" w:type="dxa"/>
          </w:tblCellMar>
        </w:tblPrEx>
        <w:trPr>
          <w:trHeight w:val="17" w:hRule="atLeast"/>
        </w:trPr>
        <w:tc>
          <w:tcPr>
            <w:tcW w:w="0" w:type="auto"/>
            <w:vMerge w:val="restart"/>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218F1D34">
            <w:pPr>
              <w:rPr>
                <w:rFonts w:ascii="宋体" w:hAnsi="宋体"/>
                <w:b w:val="0"/>
                <w:bCs w:val="0"/>
                <w:szCs w:val="21"/>
              </w:rPr>
            </w:pPr>
            <w:r>
              <w:rPr>
                <w:rFonts w:hint="eastAsia" w:ascii="宋体" w:hAnsi="宋体"/>
                <w:b w:val="0"/>
                <w:bCs w:val="0"/>
                <w:szCs w:val="21"/>
              </w:rPr>
              <w:t xml:space="preserve">输出电压 </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136E0181">
            <w:pPr>
              <w:rPr>
                <w:rFonts w:ascii="宋体" w:hAnsi="宋体"/>
                <w:b w:val="0"/>
                <w:bCs w:val="0"/>
                <w:szCs w:val="21"/>
              </w:rPr>
            </w:pPr>
            <w:r>
              <w:rPr>
                <w:rFonts w:hint="eastAsia" w:ascii="宋体" w:hAnsi="宋体"/>
                <w:b w:val="0"/>
                <w:bCs w:val="0"/>
                <w:szCs w:val="21"/>
              </w:rPr>
              <w:t>主电模式：与主电一致；</w:t>
            </w:r>
          </w:p>
        </w:tc>
      </w:tr>
      <w:tr w14:paraId="0657AF1A">
        <w:tblPrEx>
          <w:tblCellMar>
            <w:top w:w="0" w:type="dxa"/>
            <w:left w:w="0" w:type="dxa"/>
            <w:bottom w:w="0" w:type="dxa"/>
            <w:right w:w="0" w:type="dxa"/>
          </w:tblCellMar>
        </w:tblPrEx>
        <w:trPr>
          <w:trHeight w:val="17" w:hRule="atLeast"/>
        </w:trPr>
        <w:tc>
          <w:tcPr>
            <w:tcW w:w="0" w:type="auto"/>
            <w:vMerge w:val="continue"/>
            <w:tcBorders>
              <w:top w:val="single" w:color="A6A6A6" w:sz="8" w:space="0"/>
              <w:left w:val="single" w:color="A6A6A6" w:sz="8" w:space="0"/>
              <w:bottom w:val="single" w:color="A6A6A6" w:sz="8" w:space="0"/>
              <w:right w:val="single" w:color="A6A6A6" w:sz="8" w:space="0"/>
            </w:tcBorders>
            <w:shd w:val="clear" w:color="auto" w:fill="auto"/>
            <w:noWrap w:val="0"/>
            <w:vAlign w:val="center"/>
          </w:tcPr>
          <w:p w14:paraId="3095C7A2">
            <w:pPr>
              <w:rPr>
                <w:rFonts w:ascii="宋体" w:hAnsi="宋体"/>
                <w:b w:val="0"/>
                <w:bCs w:val="0"/>
                <w:szCs w:val="21"/>
              </w:rPr>
            </w:pP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259E4BDA">
            <w:pPr>
              <w:rPr>
                <w:rFonts w:ascii="宋体" w:hAnsi="宋体"/>
                <w:b w:val="0"/>
                <w:bCs w:val="0"/>
                <w:szCs w:val="21"/>
              </w:rPr>
            </w:pPr>
            <w:r>
              <w:rPr>
                <w:rFonts w:hint="eastAsia" w:ascii="宋体" w:hAnsi="宋体"/>
                <w:b w:val="0"/>
                <w:bCs w:val="0"/>
                <w:szCs w:val="21"/>
              </w:rPr>
              <w:t>应急模式：220V</w:t>
            </w:r>
          </w:p>
        </w:tc>
      </w:tr>
      <w:tr w14:paraId="69E4EB15">
        <w:tblPrEx>
          <w:tblCellMar>
            <w:top w:w="0" w:type="dxa"/>
            <w:left w:w="0" w:type="dxa"/>
            <w:bottom w:w="0" w:type="dxa"/>
            <w:right w:w="0" w:type="dxa"/>
          </w:tblCellMar>
        </w:tblPrEx>
        <w:trPr>
          <w:trHeight w:val="17" w:hRule="atLeast"/>
        </w:trPr>
        <w:tc>
          <w:tcPr>
            <w:tcW w:w="0" w:type="auto"/>
            <w:vMerge w:val="restart"/>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23B28D18">
            <w:pPr>
              <w:rPr>
                <w:rFonts w:ascii="宋体" w:hAnsi="宋体"/>
                <w:b w:val="0"/>
                <w:bCs w:val="0"/>
                <w:szCs w:val="21"/>
              </w:rPr>
            </w:pPr>
            <w:r>
              <w:rPr>
                <w:rFonts w:hint="eastAsia" w:ascii="宋体" w:hAnsi="宋体"/>
                <w:b w:val="0"/>
                <w:bCs w:val="0"/>
                <w:szCs w:val="21"/>
              </w:rPr>
              <w:t>输出频率</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2C34D552">
            <w:pPr>
              <w:rPr>
                <w:rFonts w:ascii="宋体" w:hAnsi="宋体"/>
                <w:b w:val="0"/>
                <w:bCs w:val="0"/>
                <w:szCs w:val="21"/>
              </w:rPr>
            </w:pPr>
            <w:r>
              <w:rPr>
                <w:rFonts w:hint="eastAsia" w:ascii="宋体" w:hAnsi="宋体"/>
                <w:b w:val="0"/>
                <w:bCs w:val="0"/>
                <w:szCs w:val="21"/>
              </w:rPr>
              <w:t>主电模式：与主电一致；</w:t>
            </w:r>
          </w:p>
        </w:tc>
      </w:tr>
      <w:tr w14:paraId="720BE927">
        <w:tblPrEx>
          <w:tblCellMar>
            <w:top w:w="0" w:type="dxa"/>
            <w:left w:w="0" w:type="dxa"/>
            <w:bottom w:w="0" w:type="dxa"/>
            <w:right w:w="0" w:type="dxa"/>
          </w:tblCellMar>
        </w:tblPrEx>
        <w:trPr>
          <w:trHeight w:val="17" w:hRule="atLeast"/>
        </w:trPr>
        <w:tc>
          <w:tcPr>
            <w:tcW w:w="0" w:type="auto"/>
            <w:vMerge w:val="continue"/>
            <w:tcBorders>
              <w:top w:val="single" w:color="A6A6A6" w:sz="8" w:space="0"/>
              <w:left w:val="single" w:color="A6A6A6" w:sz="8" w:space="0"/>
              <w:bottom w:val="single" w:color="A6A6A6" w:sz="8" w:space="0"/>
              <w:right w:val="single" w:color="A6A6A6" w:sz="8" w:space="0"/>
            </w:tcBorders>
            <w:shd w:val="clear" w:color="auto" w:fill="auto"/>
            <w:noWrap w:val="0"/>
            <w:vAlign w:val="center"/>
          </w:tcPr>
          <w:p w14:paraId="19690327">
            <w:pPr>
              <w:rPr>
                <w:rFonts w:ascii="宋体" w:hAnsi="宋体"/>
                <w:b w:val="0"/>
                <w:bCs w:val="0"/>
                <w:szCs w:val="21"/>
              </w:rPr>
            </w:pP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69D8451B">
            <w:pPr>
              <w:rPr>
                <w:rFonts w:ascii="宋体" w:hAnsi="宋体"/>
                <w:b w:val="0"/>
                <w:bCs w:val="0"/>
                <w:szCs w:val="21"/>
              </w:rPr>
            </w:pPr>
            <w:r>
              <w:rPr>
                <w:rFonts w:hint="eastAsia" w:ascii="宋体" w:hAnsi="宋体"/>
                <w:b w:val="0"/>
                <w:bCs w:val="0"/>
                <w:szCs w:val="21"/>
              </w:rPr>
              <w:t>应急模式：50Hz±0.5%；</w:t>
            </w:r>
          </w:p>
        </w:tc>
      </w:tr>
      <w:tr w14:paraId="00D5CCA2">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156ED008">
            <w:pPr>
              <w:rPr>
                <w:rFonts w:ascii="宋体" w:hAnsi="宋体"/>
                <w:b w:val="0"/>
                <w:bCs w:val="0"/>
                <w:szCs w:val="21"/>
              </w:rPr>
            </w:pPr>
            <w:r>
              <w:rPr>
                <w:rFonts w:hint="eastAsia" w:ascii="宋体" w:hAnsi="宋体"/>
                <w:b w:val="0"/>
                <w:bCs w:val="0"/>
                <w:szCs w:val="21"/>
              </w:rPr>
              <w:t xml:space="preserve">输出效率 </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4AC09560">
            <w:pPr>
              <w:rPr>
                <w:rFonts w:ascii="宋体" w:hAnsi="宋体"/>
                <w:b w:val="0"/>
                <w:bCs w:val="0"/>
                <w:szCs w:val="21"/>
              </w:rPr>
            </w:pPr>
            <w:r>
              <w:rPr>
                <w:rFonts w:hint="eastAsia" w:ascii="宋体" w:hAnsi="宋体"/>
                <w:b w:val="0"/>
                <w:bCs w:val="0"/>
                <w:szCs w:val="21"/>
              </w:rPr>
              <w:t>正常状态≥99%，应急状态≥9</w:t>
            </w:r>
            <w:r>
              <w:rPr>
                <w:rFonts w:hint="eastAsia" w:ascii="宋体" w:hAnsi="宋体"/>
                <w:b w:val="0"/>
                <w:bCs w:val="0"/>
                <w:szCs w:val="21"/>
                <w:lang w:val="en-US" w:eastAsia="zh-CN"/>
              </w:rPr>
              <w:t>6</w:t>
            </w:r>
            <w:r>
              <w:rPr>
                <w:rFonts w:hint="eastAsia" w:ascii="宋体" w:hAnsi="宋体"/>
                <w:b w:val="0"/>
                <w:bCs w:val="0"/>
                <w:szCs w:val="21"/>
              </w:rPr>
              <w:t>%</w:t>
            </w:r>
          </w:p>
        </w:tc>
      </w:tr>
      <w:tr w14:paraId="384D618F">
        <w:tblPrEx>
          <w:tblCellMar>
            <w:top w:w="0" w:type="dxa"/>
            <w:left w:w="0" w:type="dxa"/>
            <w:bottom w:w="0" w:type="dxa"/>
            <w:right w:w="0" w:type="dxa"/>
          </w:tblCellMar>
        </w:tblPrEx>
        <w:trPr>
          <w:trHeight w:val="17" w:hRule="atLeast"/>
        </w:trPr>
        <w:tc>
          <w:tcPr>
            <w:tcW w:w="0" w:type="auto"/>
            <w:gridSpan w:val="2"/>
            <w:tcBorders>
              <w:top w:val="single" w:color="A6A6A6" w:sz="8" w:space="0"/>
              <w:left w:val="single" w:color="A6A6A6" w:sz="8" w:space="0"/>
              <w:bottom w:val="single" w:color="A6A6A6" w:sz="8" w:space="0"/>
              <w:right w:val="single" w:color="A6A6A6" w:sz="8" w:space="0"/>
            </w:tcBorders>
            <w:shd w:val="clear" w:color="auto" w:fill="EFEFEF"/>
            <w:noWrap w:val="0"/>
            <w:tcMar>
              <w:top w:w="113" w:type="dxa"/>
              <w:left w:w="113" w:type="dxa"/>
              <w:bottom w:w="113" w:type="dxa"/>
              <w:right w:w="113" w:type="dxa"/>
            </w:tcMar>
            <w:vAlign w:val="center"/>
          </w:tcPr>
          <w:p w14:paraId="29108C33">
            <w:pPr>
              <w:rPr>
                <w:rFonts w:ascii="宋体" w:hAnsi="宋体"/>
                <w:b w:val="0"/>
                <w:bCs w:val="0"/>
                <w:szCs w:val="21"/>
              </w:rPr>
            </w:pPr>
            <w:r>
              <w:rPr>
                <w:rFonts w:hint="eastAsia" w:ascii="宋体" w:hAnsi="宋体"/>
                <w:b w:val="0"/>
                <w:bCs w:val="0"/>
                <w:szCs w:val="21"/>
              </w:rPr>
              <w:t xml:space="preserve">系统指标 </w:t>
            </w:r>
          </w:p>
        </w:tc>
      </w:tr>
      <w:tr w14:paraId="7CCFC5DE">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B3B3B3" w:sz="8" w:space="0"/>
            </w:tcBorders>
            <w:shd w:val="clear" w:color="auto" w:fill="auto"/>
            <w:noWrap w:val="0"/>
            <w:tcMar>
              <w:top w:w="113" w:type="dxa"/>
              <w:left w:w="113" w:type="dxa"/>
              <w:bottom w:w="113" w:type="dxa"/>
              <w:right w:w="113" w:type="dxa"/>
            </w:tcMar>
            <w:vAlign w:val="center"/>
          </w:tcPr>
          <w:p w14:paraId="223B5D0D">
            <w:pPr>
              <w:rPr>
                <w:rFonts w:ascii="宋体" w:hAnsi="宋体"/>
                <w:b w:val="0"/>
                <w:bCs w:val="0"/>
                <w:szCs w:val="21"/>
              </w:rPr>
            </w:pPr>
            <w:r>
              <w:rPr>
                <w:rFonts w:hint="eastAsia" w:ascii="宋体" w:hAnsi="宋体"/>
                <w:b w:val="0"/>
                <w:bCs w:val="0"/>
                <w:szCs w:val="21"/>
              </w:rPr>
              <w:t>切换时间</w:t>
            </w:r>
          </w:p>
        </w:tc>
        <w:tc>
          <w:tcPr>
            <w:tcW w:w="0" w:type="auto"/>
            <w:tcBorders>
              <w:top w:val="single" w:color="B3B3B3" w:sz="8" w:space="0"/>
              <w:left w:val="single" w:color="B3B3B3" w:sz="8" w:space="0"/>
              <w:bottom w:val="single" w:color="B3B3B3" w:sz="8" w:space="0"/>
              <w:right w:val="single" w:color="B3B3B3" w:sz="8" w:space="0"/>
            </w:tcBorders>
            <w:shd w:val="clear" w:color="auto" w:fill="auto"/>
            <w:noWrap w:val="0"/>
            <w:tcMar>
              <w:top w:w="113" w:type="dxa"/>
              <w:left w:w="113" w:type="dxa"/>
              <w:bottom w:w="113" w:type="dxa"/>
              <w:right w:w="113" w:type="dxa"/>
            </w:tcMar>
            <w:vAlign w:val="center"/>
          </w:tcPr>
          <w:p w14:paraId="3EBC6DEB">
            <w:pPr>
              <w:rPr>
                <w:rFonts w:ascii="宋体" w:hAnsi="宋体"/>
                <w:b w:val="0"/>
                <w:bCs w:val="0"/>
                <w:szCs w:val="21"/>
              </w:rPr>
            </w:pPr>
            <w:r>
              <w:rPr>
                <w:rFonts w:hint="eastAsia" w:ascii="宋体" w:hAnsi="宋体"/>
                <w:b w:val="0"/>
                <w:bCs w:val="0"/>
                <w:szCs w:val="21"/>
              </w:rPr>
              <w:t>≤</w:t>
            </w:r>
            <w:r>
              <w:rPr>
                <w:rFonts w:hint="eastAsia" w:ascii="宋体" w:hAnsi="宋体"/>
                <w:b w:val="0"/>
                <w:bCs w:val="0"/>
                <w:szCs w:val="21"/>
                <w:lang w:val="en-US" w:eastAsia="zh-CN"/>
              </w:rPr>
              <w:t>2</w:t>
            </w:r>
            <w:r>
              <w:rPr>
                <w:rFonts w:hint="eastAsia" w:ascii="宋体" w:hAnsi="宋体"/>
                <w:b w:val="0"/>
                <w:bCs w:val="0"/>
                <w:szCs w:val="21"/>
              </w:rPr>
              <w:t>ms</w:t>
            </w:r>
          </w:p>
        </w:tc>
      </w:tr>
      <w:tr w14:paraId="34AF5341">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5F567FE2">
            <w:pPr>
              <w:rPr>
                <w:rFonts w:ascii="宋体" w:hAnsi="宋体"/>
                <w:b w:val="0"/>
                <w:bCs w:val="0"/>
                <w:szCs w:val="21"/>
              </w:rPr>
            </w:pPr>
            <w:r>
              <w:rPr>
                <w:rFonts w:hint="eastAsia" w:ascii="宋体" w:hAnsi="宋体"/>
                <w:b w:val="0"/>
                <w:bCs w:val="0"/>
                <w:szCs w:val="21"/>
              </w:rPr>
              <w:t>过载特性</w:t>
            </w:r>
          </w:p>
        </w:tc>
        <w:tc>
          <w:tcPr>
            <w:tcW w:w="0" w:type="auto"/>
            <w:tcBorders>
              <w:top w:val="single" w:color="B3B3B3"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5A000F33">
            <w:pPr>
              <w:rPr>
                <w:rFonts w:ascii="宋体" w:hAnsi="宋体"/>
                <w:b w:val="0"/>
                <w:bCs w:val="0"/>
                <w:szCs w:val="21"/>
              </w:rPr>
            </w:pPr>
            <w:r>
              <w:rPr>
                <w:rFonts w:hint="eastAsia" w:ascii="宋体" w:hAnsi="宋体"/>
                <w:b w:val="0"/>
                <w:bCs w:val="0"/>
                <w:szCs w:val="21"/>
              </w:rPr>
              <w:t>120%长期工作，125%-150%一分钟保护，150%运行1s后关机</w:t>
            </w:r>
          </w:p>
        </w:tc>
      </w:tr>
      <w:tr w14:paraId="0546DBF3">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027A0A1B">
            <w:pPr>
              <w:rPr>
                <w:rFonts w:ascii="宋体" w:hAnsi="宋体"/>
                <w:b w:val="0"/>
                <w:bCs w:val="0"/>
                <w:szCs w:val="21"/>
              </w:rPr>
            </w:pPr>
            <w:r>
              <w:rPr>
                <w:rFonts w:hint="eastAsia" w:ascii="宋体" w:hAnsi="宋体"/>
                <w:b w:val="0"/>
                <w:bCs w:val="0"/>
                <w:szCs w:val="21"/>
              </w:rPr>
              <w:t>应急供电时间</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143A6448">
            <w:pPr>
              <w:rPr>
                <w:rFonts w:ascii="宋体" w:hAnsi="宋体"/>
                <w:b w:val="0"/>
                <w:bCs w:val="0"/>
                <w:szCs w:val="21"/>
              </w:rPr>
            </w:pPr>
            <w:r>
              <w:rPr>
                <w:rFonts w:hint="eastAsia" w:ascii="宋体" w:hAnsi="宋体"/>
                <w:b w:val="0"/>
                <w:bCs w:val="0"/>
                <w:szCs w:val="21"/>
              </w:rPr>
              <w:t>90分钟</w:t>
            </w:r>
          </w:p>
        </w:tc>
      </w:tr>
      <w:tr w14:paraId="7C81F5D9">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0E9BFF89">
            <w:pPr>
              <w:rPr>
                <w:rFonts w:ascii="宋体" w:hAnsi="宋体"/>
                <w:b w:val="0"/>
                <w:bCs w:val="0"/>
                <w:szCs w:val="21"/>
              </w:rPr>
            </w:pPr>
            <w:r>
              <w:rPr>
                <w:rFonts w:hint="eastAsia" w:ascii="宋体" w:hAnsi="宋体"/>
                <w:b w:val="0"/>
                <w:bCs w:val="0"/>
                <w:szCs w:val="21"/>
              </w:rPr>
              <w:t>保护功能</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58DAAC3F">
            <w:pPr>
              <w:rPr>
                <w:rFonts w:ascii="宋体" w:hAnsi="宋体"/>
                <w:b w:val="0"/>
                <w:bCs w:val="0"/>
                <w:szCs w:val="21"/>
              </w:rPr>
            </w:pPr>
            <w:r>
              <w:rPr>
                <w:rFonts w:hint="eastAsia" w:ascii="宋体" w:hAnsi="宋体"/>
                <w:b w:val="0"/>
                <w:bCs w:val="0"/>
                <w:szCs w:val="21"/>
              </w:rPr>
              <w:t>输入/输出过欠压、BUS过压、过载、短路保护、过温保护、电池欠压保护</w:t>
            </w:r>
          </w:p>
        </w:tc>
      </w:tr>
      <w:tr w14:paraId="5E1B3EC7">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3A7EBE03">
            <w:pPr>
              <w:rPr>
                <w:rFonts w:ascii="宋体" w:hAnsi="宋体"/>
                <w:b w:val="0"/>
                <w:bCs w:val="0"/>
                <w:szCs w:val="21"/>
              </w:rPr>
            </w:pPr>
            <w:r>
              <w:rPr>
                <w:rFonts w:hint="eastAsia" w:ascii="宋体" w:hAnsi="宋体"/>
                <w:b w:val="0"/>
                <w:bCs w:val="0"/>
                <w:szCs w:val="21"/>
              </w:rPr>
              <w:t>状态显示</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6805EE49">
            <w:pPr>
              <w:rPr>
                <w:rFonts w:ascii="宋体" w:hAnsi="宋体"/>
                <w:b w:val="0"/>
                <w:bCs w:val="0"/>
                <w:szCs w:val="21"/>
              </w:rPr>
            </w:pPr>
            <w:r>
              <w:rPr>
                <w:rFonts w:hint="eastAsia" w:ascii="宋体" w:hAnsi="宋体"/>
                <w:b w:val="0"/>
                <w:bCs w:val="0"/>
                <w:szCs w:val="21"/>
              </w:rPr>
              <w:t>LED运行状态显示、LCD汉字信息显示</w:t>
            </w:r>
          </w:p>
        </w:tc>
      </w:tr>
      <w:tr w14:paraId="2BCBC295">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7EF49884">
            <w:pPr>
              <w:rPr>
                <w:rFonts w:ascii="宋体" w:hAnsi="宋体"/>
                <w:b w:val="0"/>
                <w:bCs w:val="0"/>
                <w:szCs w:val="21"/>
              </w:rPr>
            </w:pPr>
            <w:r>
              <w:rPr>
                <w:rFonts w:hint="eastAsia" w:ascii="宋体" w:hAnsi="宋体"/>
                <w:b w:val="0"/>
                <w:bCs w:val="0"/>
                <w:szCs w:val="21"/>
              </w:rPr>
              <w:t>运行噪音</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7AF98550">
            <w:pPr>
              <w:rPr>
                <w:rFonts w:ascii="宋体" w:hAnsi="宋体"/>
                <w:b w:val="0"/>
                <w:bCs w:val="0"/>
                <w:szCs w:val="21"/>
              </w:rPr>
            </w:pPr>
            <w:r>
              <w:rPr>
                <w:rFonts w:hint="eastAsia" w:ascii="宋体" w:hAnsi="宋体"/>
                <w:b w:val="0"/>
                <w:bCs w:val="0"/>
                <w:szCs w:val="21"/>
              </w:rPr>
              <w:t>正常状态：无噪音；应急状态：≤55dB（距离设备1米处）</w:t>
            </w:r>
          </w:p>
        </w:tc>
      </w:tr>
      <w:tr w14:paraId="1AB7972A">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498E8D9B">
            <w:pPr>
              <w:rPr>
                <w:rFonts w:ascii="宋体" w:hAnsi="宋体"/>
                <w:b w:val="0"/>
                <w:bCs w:val="0"/>
                <w:szCs w:val="21"/>
              </w:rPr>
            </w:pPr>
            <w:r>
              <w:rPr>
                <w:rFonts w:hint="eastAsia" w:ascii="宋体" w:hAnsi="宋体"/>
                <w:b w:val="0"/>
                <w:bCs w:val="0"/>
                <w:szCs w:val="21"/>
              </w:rPr>
              <w:t>通讯功能</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6648A310">
            <w:pPr>
              <w:rPr>
                <w:rFonts w:ascii="宋体" w:hAnsi="宋体"/>
                <w:b w:val="0"/>
                <w:bCs w:val="0"/>
                <w:szCs w:val="21"/>
              </w:rPr>
            </w:pPr>
            <w:r>
              <w:rPr>
                <w:rFonts w:hint="eastAsia" w:ascii="宋体" w:hAnsi="宋体"/>
                <w:b w:val="0"/>
                <w:bCs w:val="0"/>
                <w:szCs w:val="21"/>
                <w:lang w:val="en-US" w:eastAsia="zh-CN"/>
              </w:rPr>
              <w:t>支持</w:t>
            </w:r>
            <w:r>
              <w:rPr>
                <w:rFonts w:hint="eastAsia" w:ascii="宋体" w:hAnsi="宋体"/>
                <w:b w:val="0"/>
                <w:bCs w:val="0"/>
                <w:szCs w:val="21"/>
              </w:rPr>
              <w:t>RS485</w:t>
            </w:r>
            <w:r>
              <w:rPr>
                <w:rFonts w:hint="eastAsia" w:ascii="宋体" w:hAnsi="宋体"/>
                <w:b w:val="0"/>
                <w:bCs w:val="0"/>
                <w:szCs w:val="21"/>
                <w:lang w:eastAsia="zh-CN"/>
              </w:rPr>
              <w:t>、</w:t>
            </w:r>
            <w:r>
              <w:rPr>
                <w:rFonts w:hint="eastAsia" w:ascii="宋体" w:hAnsi="宋体"/>
                <w:b w:val="0"/>
                <w:bCs w:val="0"/>
                <w:szCs w:val="21"/>
              </w:rPr>
              <w:t>LAN网口、干接点</w:t>
            </w:r>
          </w:p>
        </w:tc>
      </w:tr>
      <w:tr w14:paraId="4201AADB">
        <w:tblPrEx>
          <w:tblCellMar>
            <w:top w:w="0" w:type="dxa"/>
            <w:left w:w="0" w:type="dxa"/>
            <w:bottom w:w="0" w:type="dxa"/>
            <w:right w:w="0" w:type="dxa"/>
          </w:tblCellMar>
        </w:tblPrEx>
        <w:trPr>
          <w:trHeight w:val="17" w:hRule="atLeast"/>
        </w:trPr>
        <w:tc>
          <w:tcPr>
            <w:tcW w:w="0" w:type="auto"/>
            <w:gridSpan w:val="2"/>
            <w:tcBorders>
              <w:top w:val="single" w:color="A6A6A6" w:sz="8" w:space="0"/>
              <w:left w:val="single" w:color="A6A6A6" w:sz="8" w:space="0"/>
              <w:bottom w:val="single" w:color="A6A6A6" w:sz="8" w:space="0"/>
              <w:right w:val="single" w:color="A6A6A6" w:sz="8" w:space="0"/>
            </w:tcBorders>
            <w:shd w:val="clear" w:color="auto" w:fill="F2F2F2"/>
            <w:noWrap w:val="0"/>
            <w:tcMar>
              <w:top w:w="113" w:type="dxa"/>
              <w:left w:w="113" w:type="dxa"/>
              <w:bottom w:w="113" w:type="dxa"/>
              <w:right w:w="113" w:type="dxa"/>
            </w:tcMar>
            <w:vAlign w:val="center"/>
          </w:tcPr>
          <w:p w14:paraId="41B46A38">
            <w:pPr>
              <w:rPr>
                <w:rFonts w:ascii="宋体" w:hAnsi="宋体"/>
                <w:b w:val="0"/>
                <w:bCs w:val="0"/>
                <w:szCs w:val="21"/>
              </w:rPr>
            </w:pPr>
            <w:r>
              <w:rPr>
                <w:rFonts w:hint="eastAsia" w:ascii="宋体" w:hAnsi="宋体"/>
                <w:b w:val="0"/>
                <w:bCs w:val="0"/>
                <w:szCs w:val="21"/>
              </w:rPr>
              <w:t xml:space="preserve">工作环境 </w:t>
            </w:r>
          </w:p>
        </w:tc>
      </w:tr>
      <w:tr w14:paraId="312AFD9F">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6EC7376F">
            <w:pPr>
              <w:rPr>
                <w:rFonts w:ascii="宋体" w:hAnsi="宋体"/>
                <w:b w:val="0"/>
                <w:bCs w:val="0"/>
                <w:szCs w:val="21"/>
              </w:rPr>
            </w:pPr>
            <w:r>
              <w:rPr>
                <w:rFonts w:hint="eastAsia" w:ascii="宋体" w:hAnsi="宋体"/>
                <w:b w:val="0"/>
                <w:bCs w:val="0"/>
                <w:szCs w:val="21"/>
              </w:rPr>
              <w:t>环境温度</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1382F8AB">
            <w:pPr>
              <w:rPr>
                <w:rFonts w:ascii="宋体" w:hAnsi="宋体"/>
                <w:b w:val="0"/>
                <w:bCs w:val="0"/>
                <w:szCs w:val="21"/>
              </w:rPr>
            </w:pPr>
            <w:r>
              <w:rPr>
                <w:rFonts w:hint="eastAsia" w:ascii="宋体" w:hAnsi="宋体"/>
                <w:b w:val="0"/>
                <w:bCs w:val="0"/>
                <w:szCs w:val="21"/>
              </w:rPr>
              <w:t>-10℃—40℃</w:t>
            </w:r>
          </w:p>
        </w:tc>
      </w:tr>
      <w:tr w14:paraId="03000973">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1687C443">
            <w:pPr>
              <w:rPr>
                <w:rFonts w:ascii="宋体" w:hAnsi="宋体"/>
                <w:b w:val="0"/>
                <w:bCs w:val="0"/>
                <w:szCs w:val="21"/>
              </w:rPr>
            </w:pPr>
            <w:r>
              <w:rPr>
                <w:rFonts w:hint="eastAsia" w:ascii="宋体" w:hAnsi="宋体"/>
                <w:b w:val="0"/>
                <w:bCs w:val="0"/>
                <w:szCs w:val="21"/>
              </w:rPr>
              <w:t>相对湿度</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1FA598AE">
            <w:pPr>
              <w:rPr>
                <w:rFonts w:ascii="宋体" w:hAnsi="宋体"/>
                <w:b w:val="0"/>
                <w:bCs w:val="0"/>
                <w:szCs w:val="21"/>
              </w:rPr>
            </w:pPr>
            <w:r>
              <w:rPr>
                <w:rFonts w:hint="eastAsia" w:ascii="宋体" w:hAnsi="宋体"/>
                <w:b w:val="0"/>
                <w:bCs w:val="0"/>
                <w:szCs w:val="21"/>
              </w:rPr>
              <w:t>20%—95%，无冷凝</w:t>
            </w:r>
          </w:p>
        </w:tc>
      </w:tr>
      <w:tr w14:paraId="2C9D7A94">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0F9F564E">
            <w:pPr>
              <w:rPr>
                <w:rFonts w:ascii="宋体" w:hAnsi="宋体"/>
                <w:b w:val="0"/>
                <w:bCs w:val="0"/>
                <w:szCs w:val="21"/>
              </w:rPr>
            </w:pPr>
            <w:r>
              <w:rPr>
                <w:rFonts w:hint="eastAsia" w:ascii="宋体" w:hAnsi="宋体"/>
                <w:b w:val="0"/>
                <w:bCs w:val="0"/>
                <w:szCs w:val="21"/>
              </w:rPr>
              <w:t>海拔高度</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2D8BD037">
            <w:pPr>
              <w:ind w:firstLine="105"/>
              <w:rPr>
                <w:rFonts w:ascii="宋体" w:hAnsi="宋体"/>
                <w:b w:val="0"/>
                <w:bCs w:val="0"/>
                <w:szCs w:val="21"/>
              </w:rPr>
            </w:pPr>
            <w:r>
              <w:rPr>
                <w:rFonts w:hint="eastAsia" w:ascii="宋体" w:hAnsi="宋体"/>
                <w:b w:val="0"/>
                <w:bCs w:val="0"/>
                <w:szCs w:val="21"/>
              </w:rPr>
              <w:t>≤1000米（每增加100米降额1%）</w:t>
            </w:r>
          </w:p>
        </w:tc>
      </w:tr>
      <w:tr w14:paraId="4F3DF492">
        <w:tblPrEx>
          <w:tblCellMar>
            <w:top w:w="0" w:type="dxa"/>
            <w:left w:w="0" w:type="dxa"/>
            <w:bottom w:w="0" w:type="dxa"/>
            <w:right w:w="0" w:type="dxa"/>
          </w:tblCellMar>
        </w:tblPrEx>
        <w:trPr>
          <w:trHeight w:val="17" w:hRule="atLeast"/>
        </w:trPr>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40AD48B0">
            <w:pPr>
              <w:rPr>
                <w:rFonts w:ascii="宋体" w:hAnsi="宋体"/>
                <w:b w:val="0"/>
                <w:bCs w:val="0"/>
                <w:szCs w:val="21"/>
              </w:rPr>
            </w:pPr>
            <w:r>
              <w:rPr>
                <w:rFonts w:hint="eastAsia" w:ascii="宋体" w:hAnsi="宋体"/>
                <w:b w:val="0"/>
                <w:bCs w:val="0"/>
                <w:szCs w:val="21"/>
              </w:rPr>
              <w:t>防护等级</w:t>
            </w:r>
          </w:p>
        </w:tc>
        <w:tc>
          <w:tcPr>
            <w:tcW w:w="0" w:type="auto"/>
            <w:tcBorders>
              <w:top w:val="single" w:color="A6A6A6" w:sz="8" w:space="0"/>
              <w:left w:val="single" w:color="A6A6A6" w:sz="8" w:space="0"/>
              <w:bottom w:val="single" w:color="A6A6A6" w:sz="8" w:space="0"/>
              <w:right w:val="single" w:color="A6A6A6" w:sz="8" w:space="0"/>
            </w:tcBorders>
            <w:shd w:val="clear" w:color="auto" w:fill="auto"/>
            <w:noWrap w:val="0"/>
            <w:tcMar>
              <w:top w:w="113" w:type="dxa"/>
              <w:left w:w="113" w:type="dxa"/>
              <w:bottom w:w="113" w:type="dxa"/>
              <w:right w:w="113" w:type="dxa"/>
            </w:tcMar>
            <w:vAlign w:val="center"/>
          </w:tcPr>
          <w:p w14:paraId="7E848400">
            <w:pPr>
              <w:rPr>
                <w:rFonts w:ascii="宋体" w:hAnsi="宋体"/>
                <w:b w:val="0"/>
                <w:bCs w:val="0"/>
                <w:szCs w:val="21"/>
              </w:rPr>
            </w:pPr>
            <w:r>
              <w:rPr>
                <w:rFonts w:hint="eastAsia" w:ascii="宋体" w:hAnsi="宋体"/>
                <w:b w:val="0"/>
                <w:bCs w:val="0"/>
                <w:szCs w:val="21"/>
              </w:rPr>
              <w:t>IP30</w:t>
            </w:r>
          </w:p>
        </w:tc>
      </w:tr>
    </w:tbl>
    <w:p w14:paraId="3D5952D0">
      <w:pPr>
        <w:spacing w:line="360" w:lineRule="auto"/>
        <w:rPr>
          <w:b w:val="0"/>
          <w:bCs w:val="0"/>
        </w:rPr>
      </w:pPr>
    </w:p>
    <w:p w14:paraId="25B084F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2.2、 蓄电池</w:t>
      </w:r>
    </w:p>
    <w:p w14:paraId="395917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（1）类型：12V-38AH、12V-65AH铅酸免维护电池（10h率额定容量，25℃）；阻燃UL94V-0级。</w:t>
      </w:r>
    </w:p>
    <w:p w14:paraId="603351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（2）容量：</w:t>
      </w:r>
      <w:r>
        <w:rPr>
          <w:rFonts w:hint="eastAsia" w:ascii="宋体" w:hAnsi="宋体" w:eastAsia="宋体" w:cs="宋体"/>
          <w:b w:val="0"/>
          <w:bCs w:val="0"/>
          <w:color w:val="000000"/>
          <w:sz w:val="22"/>
          <w:szCs w:val="22"/>
        </w:rPr>
        <w:t>10小时率放电≥1.0C</w:t>
      </w:r>
      <w:r>
        <w:rPr>
          <w:rFonts w:hint="eastAsia" w:ascii="宋体" w:hAnsi="宋体" w:eastAsia="宋体" w:cs="宋体"/>
          <w:b w:val="0"/>
          <w:bCs w:val="0"/>
          <w:color w:val="000000"/>
          <w:sz w:val="22"/>
          <w:szCs w:val="22"/>
          <w:vertAlign w:val="subscript"/>
        </w:rPr>
        <w:t>10</w:t>
      </w:r>
      <w:r>
        <w:rPr>
          <w:rFonts w:hint="eastAsia" w:ascii="宋体" w:hAnsi="宋体" w:eastAsia="宋体" w:cs="宋体"/>
          <w:b w:val="0"/>
          <w:bCs w:val="0"/>
          <w:color w:val="000000"/>
          <w:sz w:val="22"/>
          <w:szCs w:val="22"/>
        </w:rPr>
        <w:t>；3小时率放电≥0.75C</w:t>
      </w:r>
      <w:r>
        <w:rPr>
          <w:rFonts w:hint="eastAsia" w:ascii="宋体" w:hAnsi="宋体" w:eastAsia="宋体" w:cs="宋体"/>
          <w:b w:val="0"/>
          <w:bCs w:val="0"/>
          <w:color w:val="000000"/>
          <w:sz w:val="22"/>
          <w:szCs w:val="22"/>
          <w:vertAlign w:val="subscript"/>
        </w:rPr>
        <w:t>10</w:t>
      </w:r>
      <w:r>
        <w:rPr>
          <w:rFonts w:hint="eastAsia" w:ascii="宋体" w:hAnsi="宋体" w:eastAsia="宋体"/>
          <w:b w:val="0"/>
          <w:bCs w:val="0"/>
          <w:sz w:val="22"/>
        </w:rPr>
        <w:t>提供第三方检测报告为依据（需提供同系列蓄电池报告为依据，并且第三方具有CNAS资质）</w:t>
      </w:r>
    </w:p>
    <w:p w14:paraId="684CD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（3）开路状态：完全充电后的电池静置24h后测量各单体电池开路电压，其最高值与最低值之差不大于69mV。</w:t>
      </w:r>
      <w:r>
        <w:rPr>
          <w:rFonts w:hint="eastAsia" w:ascii="宋体" w:hAnsi="宋体" w:eastAsia="宋体"/>
          <w:b w:val="0"/>
          <w:bCs w:val="0"/>
          <w:sz w:val="22"/>
        </w:rPr>
        <w:t>提供第三方检测报告为依据（需提供同系列蓄电池报告为依据，并且第三方具有CNAS资质）</w:t>
      </w:r>
    </w:p>
    <w:p w14:paraId="62E90E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w:t>
      </w:r>
      <w:r>
        <w:rPr>
          <w:rFonts w:hint="eastAsia" w:ascii="宋体" w:hAnsi="宋体" w:eastAsia="宋体"/>
          <w:b w:val="0"/>
          <w:bCs w:val="0"/>
          <w:sz w:val="22"/>
        </w:rPr>
        <w:t>★</w:t>
      </w:r>
      <w:r>
        <w:rPr>
          <w:rFonts w:hint="eastAsia" w:ascii="宋体" w:hAnsi="宋体" w:eastAsia="宋体" w:cs="宋体"/>
          <w:b w:val="0"/>
          <w:bCs w:val="0"/>
          <w:sz w:val="22"/>
          <w:szCs w:val="22"/>
          <w:lang w:val="en-US" w:eastAsia="zh-CN"/>
        </w:rPr>
        <w:t>浮充状态：完全充电后的电池进入浮充状态24h后，各电池之间的端电压差不大于260mV。</w:t>
      </w:r>
      <w:r>
        <w:rPr>
          <w:rFonts w:hint="eastAsia" w:ascii="宋体" w:hAnsi="宋体" w:eastAsia="宋体"/>
          <w:b w:val="0"/>
          <w:bCs w:val="0"/>
          <w:sz w:val="22"/>
        </w:rPr>
        <w:t>提供第三方检测报告为依据（需提供同系列蓄电池报告为依据，并且第三方具有CNAS资质）</w:t>
      </w:r>
    </w:p>
    <w:p w14:paraId="1FF634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（5）放电状态：完全充电后的电池进行10h率容量实验，当有电池达到终止电压时，各电池之间的端电压差不大于250mV。</w:t>
      </w:r>
      <w:r>
        <w:rPr>
          <w:rFonts w:hint="eastAsia" w:ascii="宋体" w:hAnsi="宋体" w:eastAsia="宋体"/>
          <w:b w:val="0"/>
          <w:bCs w:val="0"/>
          <w:sz w:val="22"/>
        </w:rPr>
        <w:t>提供第三方检测报告为依据（需提供同系列蓄电池报告为依据，并且第三方具有CNAS资质）</w:t>
      </w:r>
    </w:p>
    <w:p w14:paraId="3D9A309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w:t>
      </w:r>
      <w:r>
        <w:rPr>
          <w:rFonts w:hint="eastAsia" w:ascii="宋体" w:hAnsi="宋体" w:eastAsia="宋体"/>
          <w:b w:val="0"/>
          <w:bCs w:val="0"/>
          <w:sz w:val="22"/>
        </w:rPr>
        <w:t>★</w:t>
      </w:r>
      <w:r>
        <w:rPr>
          <w:rFonts w:hint="eastAsia" w:ascii="宋体" w:hAnsi="宋体" w:eastAsia="宋体" w:cs="宋体"/>
          <w:b w:val="0"/>
          <w:bCs w:val="0"/>
          <w:sz w:val="22"/>
          <w:szCs w:val="22"/>
          <w:lang w:val="en-US" w:eastAsia="zh-CN"/>
        </w:rPr>
        <w:t>功率一致性：同组蓄电池以15分钟额定功率试验时，最大放电时间与最小放电时间差值应不大于4%。</w:t>
      </w:r>
      <w:r>
        <w:rPr>
          <w:rFonts w:hint="eastAsia" w:ascii="宋体" w:hAnsi="宋体" w:eastAsia="宋体"/>
          <w:b w:val="0"/>
          <w:bCs w:val="0"/>
          <w:sz w:val="22"/>
        </w:rPr>
        <w:t>提供第三方检测报告为依据（需提供同系列蓄电池报告为依据，并且第三方具有CNAS资质）</w:t>
      </w:r>
    </w:p>
    <w:p w14:paraId="6E50A5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w:t>
      </w:r>
      <w:r>
        <w:rPr>
          <w:rFonts w:hint="eastAsia" w:ascii="宋体" w:hAnsi="宋体" w:eastAsia="宋体"/>
          <w:b w:val="0"/>
          <w:bCs w:val="0"/>
          <w:sz w:val="22"/>
        </w:rPr>
        <w:t>★</w:t>
      </w:r>
      <w:r>
        <w:rPr>
          <w:rFonts w:hint="eastAsia" w:ascii="宋体" w:hAnsi="宋体" w:eastAsia="宋体" w:cs="宋体"/>
          <w:b w:val="0"/>
          <w:bCs w:val="0"/>
          <w:sz w:val="22"/>
          <w:szCs w:val="22"/>
          <w:lang w:val="en-US" w:eastAsia="zh-CN"/>
        </w:rPr>
        <w:t>密封反应效率：密封反应效率≥99.9%。</w:t>
      </w:r>
      <w:r>
        <w:rPr>
          <w:rFonts w:hint="eastAsia" w:ascii="宋体" w:hAnsi="宋体" w:eastAsia="宋体"/>
          <w:b w:val="0"/>
          <w:bCs w:val="0"/>
          <w:sz w:val="22"/>
        </w:rPr>
        <w:t>提供第三方检测报告为依据（需提供同系列蓄电池报告为依据，并且第三方具有CNAS资质）</w:t>
      </w:r>
    </w:p>
    <w:p w14:paraId="5DD2CA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（8）安全阀要求：蓄电池安全阀应具有自动开启和自动关闭的功能，开阀压力范围：10～24kPa，闭阀压力范围：3～20kPa。</w:t>
      </w:r>
      <w:r>
        <w:rPr>
          <w:rFonts w:hint="eastAsia" w:ascii="宋体" w:hAnsi="宋体" w:eastAsia="宋体"/>
          <w:b w:val="0"/>
          <w:bCs w:val="0"/>
          <w:sz w:val="22"/>
        </w:rPr>
        <w:t>提供第三方检测报告为依据（需提供同系列蓄电池报告为依据，并且第三方具有CNAS资质）</w:t>
      </w:r>
    </w:p>
    <w:p w14:paraId="17FD58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2"/>
          <w:szCs w:val="22"/>
        </w:rPr>
      </w:pPr>
      <w:r>
        <w:rPr>
          <w:rFonts w:hint="eastAsia" w:ascii="宋体" w:hAnsi="宋体" w:eastAsia="宋体" w:cs="宋体"/>
          <w:b w:val="0"/>
          <w:bCs w:val="0"/>
          <w:sz w:val="22"/>
          <w:szCs w:val="22"/>
          <w:lang w:val="en-US" w:eastAsia="zh-CN"/>
        </w:rPr>
        <w:t>（9）</w:t>
      </w:r>
      <w:r>
        <w:rPr>
          <w:rFonts w:hint="eastAsia" w:ascii="宋体" w:hAnsi="宋体" w:eastAsia="宋体" w:cs="宋体"/>
          <w:b w:val="0"/>
          <w:bCs w:val="0"/>
          <w:color w:val="000000"/>
          <w:sz w:val="22"/>
          <w:szCs w:val="22"/>
        </w:rPr>
        <w:t>完全充电后的电池以0.03C</w:t>
      </w:r>
      <w:r>
        <w:rPr>
          <w:rFonts w:hint="eastAsia" w:ascii="宋体" w:hAnsi="宋体" w:eastAsia="宋体" w:cs="宋体"/>
          <w:b w:val="0"/>
          <w:bCs w:val="0"/>
          <w:color w:val="000000"/>
          <w:sz w:val="22"/>
          <w:szCs w:val="22"/>
          <w:vertAlign w:val="subscript"/>
        </w:rPr>
        <w:t>10</w:t>
      </w:r>
      <w:r>
        <w:rPr>
          <w:rFonts w:hint="eastAsia" w:ascii="宋体" w:hAnsi="宋体" w:eastAsia="宋体" w:cs="宋体"/>
          <w:b w:val="0"/>
          <w:bCs w:val="0"/>
          <w:color w:val="000000"/>
          <w:sz w:val="22"/>
          <w:szCs w:val="22"/>
        </w:rPr>
        <w:t>电流再充电160h，外观应无明显变形及渗液。</w:t>
      </w:r>
      <w:r>
        <w:rPr>
          <w:rFonts w:hint="eastAsia" w:ascii="宋体" w:hAnsi="宋体" w:eastAsia="宋体"/>
          <w:b w:val="0"/>
          <w:bCs w:val="0"/>
          <w:sz w:val="22"/>
        </w:rPr>
        <w:t>提供第三方检测报告为依据（需提供同系列蓄电池报告为依据，并且第三方具有CNAS资质）</w:t>
      </w:r>
    </w:p>
    <w:p w14:paraId="26BB02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r>
        <w:rPr>
          <w:rFonts w:hint="eastAsia" w:ascii="宋体" w:hAnsi="宋体" w:eastAsia="宋体"/>
          <w:b w:val="0"/>
          <w:bCs w:val="0"/>
          <w:sz w:val="22"/>
        </w:rPr>
        <w:t>★</w:t>
      </w:r>
      <w:r>
        <w:rPr>
          <w:rFonts w:hint="eastAsia" w:ascii="宋体" w:hAnsi="宋体" w:eastAsia="宋体" w:cs="宋体"/>
          <w:b w:val="0"/>
          <w:bCs w:val="0"/>
          <w:sz w:val="22"/>
          <w:szCs w:val="22"/>
          <w:lang w:val="en-US" w:eastAsia="zh-CN"/>
        </w:rPr>
        <w:t>功率保存率：静置28天后功率保存率≥97%。</w:t>
      </w:r>
      <w:r>
        <w:rPr>
          <w:rFonts w:hint="eastAsia" w:ascii="宋体" w:hAnsi="宋体" w:eastAsia="宋体"/>
          <w:b w:val="0"/>
          <w:bCs w:val="0"/>
          <w:sz w:val="22"/>
        </w:rPr>
        <w:t>提供第三方检测报告为依据（需提供同系列蓄电池报告为依据，并且第三方具有CNAS资质）</w:t>
      </w:r>
    </w:p>
    <w:p w14:paraId="4DB08F63">
      <w:pPr>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仿宋"/>
          <w:b w:val="0"/>
          <w:bCs w:val="0"/>
          <w:i w:val="0"/>
          <w:caps w:val="0"/>
          <w:spacing w:val="0"/>
          <w:w w:val="100"/>
          <w:kern w:val="2"/>
          <w:sz w:val="24"/>
          <w:szCs w:val="24"/>
          <w:lang w:val="en-US" w:eastAsia="zh-CN"/>
        </w:rPr>
      </w:pPr>
      <w:r>
        <w:rPr>
          <w:rFonts w:hint="eastAsia" w:ascii="宋体" w:hAnsi="宋体" w:eastAsia="宋体" w:cs="宋体"/>
          <w:b w:val="0"/>
          <w:bCs w:val="0"/>
          <w:sz w:val="22"/>
          <w:szCs w:val="22"/>
          <w:lang w:val="en-US" w:eastAsia="zh-CN"/>
        </w:rPr>
        <w:t>（11）气密性：能乘受50kPa正压或负压时能够不破裂、不开胶、压力释放后壳体无残余变形。</w:t>
      </w:r>
      <w:r>
        <w:rPr>
          <w:rFonts w:hint="eastAsia" w:ascii="宋体" w:hAnsi="宋体" w:eastAsia="宋体"/>
          <w:b w:val="0"/>
          <w:bCs w:val="0"/>
          <w:sz w:val="22"/>
        </w:rPr>
        <w:t>提供第三方检测报告为依据（需提供同系列蓄电池报告为依据，并且第三方具有CNAS资质）</w:t>
      </w:r>
    </w:p>
    <w:p w14:paraId="55AB5586">
      <w:pPr>
        <w:snapToGrid/>
        <w:spacing w:before="0" w:beforeAutospacing="0" w:after="0" w:afterAutospacing="0" w:line="360" w:lineRule="auto"/>
        <w:ind w:left="0" w:leftChars="0" w:right="0" w:firstLineChars="0"/>
        <w:jc w:val="both"/>
        <w:textAlignment w:val="baseline"/>
        <w:rPr>
          <w:rStyle w:val="18"/>
          <w:rFonts w:hint="eastAsia" w:ascii="仿宋" w:hAnsi="仿宋" w:eastAsia="仿宋" w:cs="仿宋"/>
          <w:b w:val="0"/>
          <w:bCs w:val="0"/>
          <w:i w:val="0"/>
          <w:caps w:val="0"/>
          <w:spacing w:val="0"/>
          <w:w w:val="100"/>
          <w:kern w:val="2"/>
          <w:sz w:val="24"/>
          <w:szCs w:val="24"/>
          <w:lang w:val="en-US" w:eastAsia="zh-CN"/>
        </w:rPr>
      </w:pPr>
    </w:p>
    <w:p w14:paraId="493987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三、其它要求：</w:t>
      </w:r>
    </w:p>
    <w:p w14:paraId="343EC6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1.响应文件内分别提供产品报价、蓄电池回收报价、原厂工程师上门维护报价。</w:t>
      </w:r>
    </w:p>
    <w:p w14:paraId="07B0F8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FF0000"/>
          <w:sz w:val="22"/>
          <w:szCs w:val="22"/>
          <w:lang w:val="en-US" w:eastAsia="zh-CN"/>
        </w:rPr>
      </w:pPr>
      <w:r>
        <w:rPr>
          <w:rFonts w:hint="eastAsia" w:ascii="宋体" w:hAnsi="宋体" w:eastAsia="宋体" w:cs="宋体"/>
          <w:b w:val="0"/>
          <w:bCs w:val="0"/>
          <w:sz w:val="22"/>
          <w:szCs w:val="22"/>
          <w:lang w:val="en-US" w:eastAsia="zh-CN"/>
        </w:rPr>
        <w:t>2.</w:t>
      </w:r>
      <w:r>
        <w:rPr>
          <w:rFonts w:hint="eastAsia" w:ascii="宋体" w:hAnsi="宋体" w:eastAsia="宋体" w:cs="宋体"/>
          <w:b w:val="0"/>
          <w:bCs w:val="0"/>
          <w:color w:val="auto"/>
          <w:sz w:val="22"/>
          <w:szCs w:val="22"/>
          <w:lang w:val="en-US" w:eastAsia="zh-CN"/>
        </w:rPr>
        <w:t>本次采购为应急电源、蓄电池两部分设备，其中蓄电池现阶段一次性全部更换；应急电源先更换9台，后期根据原设备的运行情况再考虑更换，原则上3年内给予全部更换到位，更换的设备需要按照本次报价继续执行，供应商不得以任何理由涨价，如果市场原材料成本发生下降，本次采购产品需要按照市场价格重新报价，新价格不得高于本次投标价。</w:t>
      </w:r>
    </w:p>
    <w:p w14:paraId="7E0C7E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3.投标人如有针对本项目实际情况的优惠建议，可以提出。</w:t>
      </w:r>
    </w:p>
    <w:p w14:paraId="2A76121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4.设备竣工验收之前，需提供所投设备的操作规程及完成针对院内运维人员的技术培训。</w:t>
      </w:r>
    </w:p>
    <w:p w14:paraId="00276B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2"/>
          <w:szCs w:val="22"/>
          <w:lang w:val="en-US" w:eastAsia="zh-CN"/>
        </w:rPr>
      </w:pPr>
    </w:p>
    <w:p w14:paraId="62C63627">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EU-F1">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7F28E1"/>
    <w:multiLevelType w:val="singleLevel"/>
    <w:tmpl w:val="E47F28E1"/>
    <w:lvl w:ilvl="0" w:tentative="0">
      <w:start w:val="1"/>
      <w:numFmt w:val="decimal"/>
      <w:lvlText w:val="(%1)"/>
      <w:lvlJc w:val="left"/>
      <w:pPr>
        <w:ind w:left="425" w:hanging="425"/>
      </w:pPr>
      <w:rPr>
        <w:rFonts w:hint="default"/>
      </w:rPr>
    </w:lvl>
  </w:abstractNum>
  <w:abstractNum w:abstractNumId="1">
    <w:nsid w:val="686254E6"/>
    <w:multiLevelType w:val="multilevel"/>
    <w:tmpl w:val="686254E6"/>
    <w:lvl w:ilvl="0" w:tentative="0">
      <w:start w:val="2"/>
      <w:numFmt w:val="japaneseCounting"/>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ZTk3M2M0MGI2NzQxY2RmN2RkNzEyOTg5ZDFkZGIifQ=="/>
  </w:docVars>
  <w:rsids>
    <w:rsidRoot w:val="00B34D7B"/>
    <w:rsid w:val="00102D77"/>
    <w:rsid w:val="00255FE2"/>
    <w:rsid w:val="005304D6"/>
    <w:rsid w:val="00643CF8"/>
    <w:rsid w:val="006673AC"/>
    <w:rsid w:val="00675560"/>
    <w:rsid w:val="006A41DB"/>
    <w:rsid w:val="006C09F8"/>
    <w:rsid w:val="00860E9F"/>
    <w:rsid w:val="00873279"/>
    <w:rsid w:val="00B34D7B"/>
    <w:rsid w:val="00BB2A83"/>
    <w:rsid w:val="00BB45C8"/>
    <w:rsid w:val="00C92BF1"/>
    <w:rsid w:val="00CB5570"/>
    <w:rsid w:val="00D133A0"/>
    <w:rsid w:val="00DF4509"/>
    <w:rsid w:val="00E02D72"/>
    <w:rsid w:val="00EA36E9"/>
    <w:rsid w:val="00EB0275"/>
    <w:rsid w:val="00EB12A9"/>
    <w:rsid w:val="00F0475D"/>
    <w:rsid w:val="00F61871"/>
    <w:rsid w:val="053A60DD"/>
    <w:rsid w:val="0AB877AA"/>
    <w:rsid w:val="10354E50"/>
    <w:rsid w:val="22EB59D9"/>
    <w:rsid w:val="25FA1E90"/>
    <w:rsid w:val="276419FB"/>
    <w:rsid w:val="354F358A"/>
    <w:rsid w:val="57F22C85"/>
    <w:rsid w:val="5C8F4AEC"/>
    <w:rsid w:val="658610DA"/>
    <w:rsid w:val="683C7759"/>
    <w:rsid w:val="705A25F1"/>
    <w:rsid w:val="733C6B70"/>
    <w:rsid w:val="7F97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autoRedefine/>
    <w:qFormat/>
    <w:uiPriority w:val="9"/>
    <w:pPr>
      <w:keepNext/>
      <w:keepLines/>
      <w:spacing w:before="220" w:after="210"/>
      <w:jc w:val="center"/>
      <w:outlineLvl w:val="0"/>
    </w:pPr>
    <w:rPr>
      <w:b/>
      <w:bCs/>
      <w:kern w:val="44"/>
      <w:sz w:val="36"/>
      <w:szCs w:val="44"/>
    </w:rPr>
  </w:style>
  <w:style w:type="paragraph" w:styleId="3">
    <w:name w:val="heading 2"/>
    <w:basedOn w:val="1"/>
    <w:next w:val="1"/>
    <w:link w:val="12"/>
    <w:unhideWhenUsed/>
    <w:qFormat/>
    <w:uiPriority w:val="9"/>
    <w:pPr>
      <w:keepNext/>
      <w:keepLines/>
      <w:spacing w:before="240" w:after="240"/>
      <w:outlineLvl w:val="1"/>
    </w:pPr>
    <w:rPr>
      <w:rFonts w:eastAsia="宋体" w:asciiTheme="majorHAnsi" w:hAnsiTheme="majorHAnsi"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next w:val="5"/>
    <w:qFormat/>
    <w:uiPriority w:val="0"/>
    <w:pPr>
      <w:widowControl w:val="0"/>
      <w:spacing w:line="360" w:lineRule="auto"/>
      <w:ind w:firstLine="420" w:firstLineChars="200"/>
      <w:jc w:val="both"/>
    </w:pPr>
    <w:rPr>
      <w:rFonts w:ascii="Times New Roman" w:hAnsi="Times New Roman" w:eastAsia="宋体" w:cs="Times New Roman"/>
      <w:kern w:val="2"/>
      <w:sz w:val="21"/>
      <w:szCs w:val="20"/>
      <w:lang w:val="en-US" w:eastAsia="zh-CN" w:bidi="ar-SA"/>
    </w:rPr>
  </w:style>
  <w:style w:type="paragraph" w:styleId="5">
    <w:name w:val="Body Text"/>
    <w:next w:val="1"/>
    <w:qFormat/>
    <w:uiPriority w:val="99"/>
    <w:pPr>
      <w:widowControl w:val="0"/>
      <w:spacing w:after="120" w:line="360" w:lineRule="auto"/>
      <w:ind w:firstLine="420" w:firstLineChars="200"/>
      <w:jc w:val="both"/>
    </w:pPr>
    <w:rPr>
      <w:rFonts w:ascii="Times New Roman" w:hAnsi="Times New Roman" w:eastAsia="宋体" w:cs="Times New Roman"/>
      <w:kern w:val="2"/>
      <w:sz w:val="21"/>
      <w:szCs w:val="24"/>
      <w:lang w:val="en-US" w:eastAsia="zh-CN" w:bidi="ar-SA"/>
    </w:rPr>
  </w:style>
  <w:style w:type="paragraph" w:styleId="6">
    <w:name w:val="Plain Text"/>
    <w:basedOn w:val="1"/>
    <w:qFormat/>
    <w:uiPriority w:val="0"/>
    <w:pPr>
      <w:suppressAutoHyphens w:val="0"/>
    </w:pPr>
    <w:rPr>
      <w:rFonts w:ascii="宋体" w:hAnsi="Courier New"/>
      <w:kern w:val="2"/>
      <w:szCs w:val="20"/>
      <w:lang w:eastAsia="zh-CN"/>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tabs>
        <w:tab w:val="center" w:pos="4153"/>
        <w:tab w:val="right" w:pos="8306"/>
      </w:tabs>
      <w:snapToGrid w:val="0"/>
      <w:jc w:val="center"/>
    </w:pPr>
    <w:rPr>
      <w:sz w:val="18"/>
      <w:szCs w:val="18"/>
    </w:rPr>
  </w:style>
  <w:style w:type="character" w:customStyle="1" w:styleId="11">
    <w:name w:val="标题 1 字符"/>
    <w:basedOn w:val="10"/>
    <w:link w:val="2"/>
    <w:qFormat/>
    <w:uiPriority w:val="9"/>
    <w:rPr>
      <w:b/>
      <w:bCs/>
      <w:kern w:val="44"/>
      <w:sz w:val="36"/>
      <w:szCs w:val="44"/>
    </w:rPr>
  </w:style>
  <w:style w:type="character" w:customStyle="1" w:styleId="12">
    <w:name w:val="标题 2 字符"/>
    <w:basedOn w:val="10"/>
    <w:link w:val="3"/>
    <w:qFormat/>
    <w:uiPriority w:val="9"/>
    <w:rPr>
      <w:rFonts w:eastAsia="宋体" w:asciiTheme="majorHAnsi" w:hAnsiTheme="majorHAnsi" w:cstheme="majorBidi"/>
      <w:b/>
      <w:bCs/>
      <w:sz w:val="32"/>
      <w:szCs w:val="32"/>
    </w:rPr>
  </w:style>
  <w:style w:type="paragraph" w:styleId="13">
    <w:name w:val="List Paragraph"/>
    <w:basedOn w:val="1"/>
    <w:qFormat/>
    <w:uiPriority w:val="34"/>
    <w:pPr>
      <w:ind w:firstLine="420" w:firstLineChars="200"/>
    </w:pPr>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 w:type="character" w:customStyle="1" w:styleId="16">
    <w:name w:val="数字EU Char"/>
    <w:link w:val="17"/>
    <w:qFormat/>
    <w:uiPriority w:val="0"/>
    <w:rPr>
      <w:rFonts w:ascii="EU-F1" w:hAnsi="Calibri" w:eastAsia="宋体" w:cs="黑体"/>
      <w:kern w:val="21"/>
      <w:sz w:val="20"/>
      <w:szCs w:val="21"/>
    </w:rPr>
  </w:style>
  <w:style w:type="paragraph" w:customStyle="1" w:styleId="17">
    <w:name w:val="数字EU"/>
    <w:basedOn w:val="1"/>
    <w:link w:val="16"/>
    <w:qFormat/>
    <w:uiPriority w:val="0"/>
    <w:pPr>
      <w:wordWrap w:val="0"/>
      <w:overflowPunct w:val="0"/>
      <w:topLinePunct/>
    </w:pPr>
    <w:rPr>
      <w:rFonts w:ascii="EU-F1" w:hAnsi="Calibri" w:eastAsia="宋体" w:cs="黑体"/>
      <w:kern w:val="21"/>
      <w:sz w:val="20"/>
      <w:szCs w:val="21"/>
    </w:rPr>
  </w:style>
  <w:style w:type="character" w:customStyle="1" w:styleId="18">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2714</Words>
  <Characters>3035</Characters>
  <Lines>35</Lines>
  <Paragraphs>9</Paragraphs>
  <TotalTime>0</TotalTime>
  <ScaleCrop>false</ScaleCrop>
  <LinksUpToDate>false</LinksUpToDate>
  <CharactersWithSpaces>3051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2023-07-04T10:32:00Z</dcterms:created>
  <dc:creator>汪传普</dc:creator>
  <cp:lastModifiedBy>铅丝</cp:lastModifiedBy>
  <dcterms:modified xsi:type="dcterms:W3CDTF">2024-08-28T06:24:53Z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5F7C934F822A448CB2E80697598DC40F_13</vt:lpwstr>
  </property>
</Properties>
</file>